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4A05E" w14:textId="77777777" w:rsidR="00FA5C99" w:rsidRDefault="00FA5C99" w:rsidP="00FA5C99">
      <w:pPr>
        <w:spacing w:after="0" w:line="480" w:lineRule="auto"/>
        <w:rPr>
          <w:rFonts w:ascii="Times New Roman" w:hAnsi="Times New Roman" w:cs="Times New Roman"/>
        </w:rPr>
      </w:pPr>
      <w:r>
        <w:rPr>
          <w:rFonts w:ascii="Times New Roman" w:hAnsi="Times New Roman" w:cs="Times New Roman"/>
        </w:rPr>
        <w:t xml:space="preserve">Sam Luzentales-Simpson </w:t>
      </w:r>
    </w:p>
    <w:p w14:paraId="1194BAC3" w14:textId="77777777" w:rsidR="00FA5C99" w:rsidRDefault="00FA5C99" w:rsidP="00FA5C99">
      <w:pPr>
        <w:spacing w:after="0" w:line="480" w:lineRule="auto"/>
        <w:rPr>
          <w:rFonts w:ascii="Times New Roman" w:hAnsi="Times New Roman" w:cs="Times New Roman"/>
        </w:rPr>
      </w:pPr>
      <w:r>
        <w:rPr>
          <w:rFonts w:ascii="Times New Roman" w:hAnsi="Times New Roman" w:cs="Times New Roman"/>
        </w:rPr>
        <w:t xml:space="preserve">3 April 2024 </w:t>
      </w:r>
    </w:p>
    <w:p w14:paraId="11CD7EEB" w14:textId="77777777" w:rsidR="00FA5C99" w:rsidRDefault="00FA5C99" w:rsidP="00FA5C99">
      <w:pPr>
        <w:spacing w:after="0" w:line="480" w:lineRule="auto"/>
        <w:jc w:val="center"/>
        <w:rPr>
          <w:rFonts w:ascii="Times New Roman" w:hAnsi="Times New Roman" w:cs="Times New Roman"/>
        </w:rPr>
      </w:pPr>
      <w:r>
        <w:rPr>
          <w:rFonts w:ascii="Times New Roman" w:hAnsi="Times New Roman" w:cs="Times New Roman"/>
        </w:rPr>
        <w:t xml:space="preserve">French Women’s Impact on Medieval England </w:t>
      </w:r>
    </w:p>
    <w:p w14:paraId="7B4993CD" w14:textId="4C5524AD" w:rsidR="00FA5C99" w:rsidRDefault="00FA5C99" w:rsidP="00FA5C99">
      <w:pPr>
        <w:spacing w:after="0" w:line="480" w:lineRule="auto"/>
        <w:ind w:firstLine="720"/>
        <w:rPr>
          <w:rFonts w:ascii="Times New Roman" w:hAnsi="Times New Roman" w:cs="Times New Roman"/>
        </w:rPr>
      </w:pPr>
      <w:r>
        <w:rPr>
          <w:rFonts w:ascii="Times New Roman" w:hAnsi="Times New Roman" w:cs="Times New Roman"/>
        </w:rPr>
        <w:t xml:space="preserve">In medieval England, notable French women such as Margaret of Anjou and Joan of Arc played pivotal political and social roles. </w:t>
      </w:r>
      <w:r w:rsidR="007D0659">
        <w:rPr>
          <w:rFonts w:ascii="Times New Roman" w:hAnsi="Times New Roman" w:cs="Times New Roman"/>
        </w:rPr>
        <w:t>Both</w:t>
      </w:r>
      <w:r>
        <w:rPr>
          <w:rFonts w:ascii="Times New Roman" w:hAnsi="Times New Roman" w:cs="Times New Roman"/>
        </w:rPr>
        <w:t xml:space="preserve"> women were highly stigmatized</w:t>
      </w:r>
      <w:r w:rsidR="00C832DE">
        <w:rPr>
          <w:rFonts w:ascii="Times New Roman" w:hAnsi="Times New Roman" w:cs="Times New Roman"/>
        </w:rPr>
        <w:t xml:space="preserve"> and demonized by the English</w:t>
      </w:r>
      <w:r>
        <w:rPr>
          <w:rFonts w:ascii="Times New Roman" w:hAnsi="Times New Roman" w:cs="Times New Roman"/>
        </w:rPr>
        <w:t>, which resulted in their eventual downfalls.</w:t>
      </w:r>
      <w:r w:rsidR="00A2092D">
        <w:rPr>
          <w:rFonts w:ascii="Times New Roman" w:hAnsi="Times New Roman" w:cs="Times New Roman"/>
        </w:rPr>
        <w:t xml:space="preserve"> </w:t>
      </w:r>
      <w:r w:rsidR="007D0659">
        <w:rPr>
          <w:rFonts w:ascii="Times New Roman" w:hAnsi="Times New Roman" w:cs="Times New Roman"/>
        </w:rPr>
        <w:t>However, t</w:t>
      </w:r>
      <w:r w:rsidR="00A2092D">
        <w:rPr>
          <w:rFonts w:ascii="Times New Roman" w:hAnsi="Times New Roman" w:cs="Times New Roman"/>
        </w:rPr>
        <w:t>heir influence was so powerful that they are still talked about and recreated to this day.</w:t>
      </w:r>
      <w:r>
        <w:rPr>
          <w:rFonts w:ascii="Times New Roman" w:hAnsi="Times New Roman" w:cs="Times New Roman"/>
        </w:rPr>
        <w:t xml:space="preserve"> Warren argues that Joan of Arc, the “temporarily successful military leader, prompted what might be called a crisis of English monarchical masculinity during the reign of the child-king” (410). </w:t>
      </w:r>
      <w:r w:rsidRPr="009A44FD">
        <w:rPr>
          <w:rFonts w:ascii="Times New Roman" w:hAnsi="Times New Roman" w:cs="Times New Roman"/>
        </w:rPr>
        <w:t xml:space="preserve">Having powerful women in militant and political roles was a turning point in </w:t>
      </w:r>
      <w:r w:rsidR="002A6306">
        <w:rPr>
          <w:rFonts w:ascii="Times New Roman" w:hAnsi="Times New Roman" w:cs="Times New Roman"/>
        </w:rPr>
        <w:t xml:space="preserve">England that </w:t>
      </w:r>
      <w:r w:rsidRPr="009A44FD">
        <w:rPr>
          <w:rFonts w:ascii="Times New Roman" w:hAnsi="Times New Roman" w:cs="Times New Roman"/>
        </w:rPr>
        <w:t>prov</w:t>
      </w:r>
      <w:r w:rsidR="002A6306">
        <w:rPr>
          <w:rFonts w:ascii="Times New Roman" w:hAnsi="Times New Roman" w:cs="Times New Roman"/>
        </w:rPr>
        <w:t>ed</w:t>
      </w:r>
      <w:r w:rsidRPr="009A44FD">
        <w:rPr>
          <w:rFonts w:ascii="Times New Roman" w:hAnsi="Times New Roman" w:cs="Times New Roman"/>
        </w:rPr>
        <w:t xml:space="preserve"> </w:t>
      </w:r>
      <w:r w:rsidR="002A6306">
        <w:rPr>
          <w:rFonts w:ascii="Times New Roman" w:hAnsi="Times New Roman" w:cs="Times New Roman"/>
        </w:rPr>
        <w:t>women’s capabilities in battle and politics, which went against the gendered norms during this period</w:t>
      </w:r>
      <w:r w:rsidRPr="009A44FD">
        <w:rPr>
          <w:rFonts w:ascii="Times New Roman" w:hAnsi="Times New Roman" w:cs="Times New Roman"/>
        </w:rPr>
        <w:t>.</w:t>
      </w:r>
      <w:r>
        <w:rPr>
          <w:rFonts w:ascii="Times New Roman" w:hAnsi="Times New Roman" w:cs="Times New Roman"/>
        </w:rPr>
        <w:t xml:space="preserve"> Warren even goes on to explain that Joan, “even long after her death, [continued] to disturb the already-conflicted, related formations of gendered and royal identities” (410). Joan’s political disruptions were followed by Margaret of Anjou, who further perpetuated these gendered issues in medieval England. Margaret’s marriage to Henry VI “resurfaced the dangerous possibility that women would choose to wield for themselves the power” that was expected to be given up to men (Warren 411). Both Joan and Margaret proved to the English that women were capable of holding positions of power, and at times, were more capable than their male counterparts. William Shakespeare famously adapted both women in his </w:t>
      </w:r>
      <w:r w:rsidRPr="007011D6">
        <w:rPr>
          <w:rFonts w:ascii="Times New Roman" w:hAnsi="Times New Roman" w:cs="Times New Roman"/>
          <w:i/>
          <w:iCs/>
        </w:rPr>
        <w:t>War of the Roses</w:t>
      </w:r>
      <w:r>
        <w:rPr>
          <w:rFonts w:ascii="Times New Roman" w:hAnsi="Times New Roman" w:cs="Times New Roman"/>
        </w:rPr>
        <w:t xml:space="preserve"> series, which is largely where other </w:t>
      </w:r>
      <w:r w:rsidR="00C10654">
        <w:rPr>
          <w:rFonts w:ascii="Times New Roman" w:hAnsi="Times New Roman" w:cs="Times New Roman"/>
        </w:rPr>
        <w:t xml:space="preserve">recreations </w:t>
      </w:r>
      <w:r>
        <w:rPr>
          <w:rFonts w:ascii="Times New Roman" w:hAnsi="Times New Roman" w:cs="Times New Roman"/>
        </w:rPr>
        <w:t xml:space="preserve">draw their characteristics from. By examining modern and Shakespearean adaptations of these women, alongside an exploration of the impact of rumours and gossip on their perception, and their refutation of traditional gender norms, it can be </w:t>
      </w:r>
      <w:r>
        <w:rPr>
          <w:rFonts w:ascii="Times New Roman" w:hAnsi="Times New Roman" w:cs="Times New Roman"/>
        </w:rPr>
        <w:lastRenderedPageBreak/>
        <w:t>observed how English patriarchy</w:t>
      </w:r>
      <w:r w:rsidR="000A5E4B">
        <w:rPr>
          <w:rFonts w:ascii="Times New Roman" w:hAnsi="Times New Roman" w:cs="Times New Roman"/>
        </w:rPr>
        <w:t xml:space="preserve"> in the medieval period</w:t>
      </w:r>
      <w:r>
        <w:rPr>
          <w:rFonts w:ascii="Times New Roman" w:hAnsi="Times New Roman" w:cs="Times New Roman"/>
        </w:rPr>
        <w:t xml:space="preserve"> worked to undermine the significant political and social achievements of these remarkable figures.</w:t>
      </w:r>
    </w:p>
    <w:p w14:paraId="0193D7A2" w14:textId="7410AEEF" w:rsidR="00FA5C99" w:rsidRDefault="00FA5C99" w:rsidP="00FA5C99">
      <w:pPr>
        <w:rPr>
          <w:rFonts w:ascii="Times New Roman" w:hAnsi="Times New Roman" w:cs="Times New Roman"/>
          <w:b/>
          <w:bCs/>
        </w:rPr>
      </w:pPr>
      <w:r>
        <w:rPr>
          <w:rFonts w:ascii="Times New Roman" w:hAnsi="Times New Roman" w:cs="Times New Roman"/>
          <w:b/>
          <w:bCs/>
        </w:rPr>
        <w:t>Modern &amp; Shakespearian Adaptations</w:t>
      </w:r>
    </w:p>
    <w:p w14:paraId="16D683DA" w14:textId="77777777" w:rsidR="00FA5C99" w:rsidRDefault="00FA5C99" w:rsidP="00FA5C99">
      <w:pPr>
        <w:spacing w:after="0" w:line="480" w:lineRule="auto"/>
        <w:ind w:firstLine="720"/>
        <w:rPr>
          <w:rFonts w:ascii="Times New Roman" w:hAnsi="Times New Roman" w:cs="Times New Roman"/>
          <w:i/>
          <w:iCs/>
        </w:rPr>
      </w:pPr>
      <w:r>
        <w:rPr>
          <w:rFonts w:ascii="Times New Roman" w:hAnsi="Times New Roman" w:cs="Times New Roman"/>
        </w:rPr>
        <w:t>One of the most famous adaptations of Joan of Arc and Margaret of Anjou are from Shakespeare’s Henry VI plays. Both women’s future adaptations almost solely rely on Shakespeare’s characters rather than on the actual women.</w:t>
      </w:r>
    </w:p>
    <w:p w14:paraId="3E8CFF0A" w14:textId="77777777" w:rsidR="00FA5C99" w:rsidRPr="00D95D96" w:rsidRDefault="00FA5C99" w:rsidP="00FA5C99">
      <w:pPr>
        <w:spacing w:after="0" w:line="480" w:lineRule="auto"/>
        <w:rPr>
          <w:rFonts w:ascii="Times New Roman" w:hAnsi="Times New Roman" w:cs="Times New Roman"/>
          <w:i/>
          <w:iCs/>
        </w:rPr>
      </w:pPr>
      <w:r>
        <w:rPr>
          <w:rFonts w:ascii="Times New Roman" w:hAnsi="Times New Roman" w:cs="Times New Roman"/>
          <w:i/>
          <w:iCs/>
        </w:rPr>
        <w:t>Henry VI, Part 1</w:t>
      </w:r>
      <w:r>
        <w:rPr>
          <w:rFonts w:ascii="Times New Roman" w:hAnsi="Times New Roman" w:cs="Times New Roman"/>
        </w:rPr>
        <w:t xml:space="preserve"> </w:t>
      </w:r>
    </w:p>
    <w:p w14:paraId="723F9A08" w14:textId="43B46315" w:rsidR="00C75E81" w:rsidRDefault="00FA5C99" w:rsidP="00FA5C99">
      <w:pPr>
        <w:spacing w:after="0" w:line="480" w:lineRule="auto"/>
        <w:rPr>
          <w:rFonts w:ascii="Times New Roman" w:hAnsi="Times New Roman" w:cs="Times New Roman"/>
        </w:rPr>
      </w:pPr>
      <w:r>
        <w:rPr>
          <w:rFonts w:ascii="Times New Roman" w:hAnsi="Times New Roman" w:cs="Times New Roman"/>
        </w:rPr>
        <w:tab/>
        <w:t>Joan of Arc first appears in</w:t>
      </w:r>
      <w:r w:rsidR="003A64F1">
        <w:rPr>
          <w:rFonts w:ascii="Times New Roman" w:hAnsi="Times New Roman" w:cs="Times New Roman"/>
        </w:rPr>
        <w:t xml:space="preserve"> Shakespeare’s</w:t>
      </w:r>
      <w:r>
        <w:rPr>
          <w:rFonts w:ascii="Times New Roman" w:hAnsi="Times New Roman" w:cs="Times New Roman"/>
        </w:rPr>
        <w:t xml:space="preserve"> </w:t>
      </w:r>
      <w:r>
        <w:rPr>
          <w:rFonts w:ascii="Times New Roman" w:hAnsi="Times New Roman" w:cs="Times New Roman"/>
          <w:i/>
          <w:iCs/>
        </w:rPr>
        <w:t>Henry VI, Part 1</w:t>
      </w:r>
      <w:r>
        <w:rPr>
          <w:rFonts w:ascii="Times New Roman" w:hAnsi="Times New Roman" w:cs="Times New Roman"/>
        </w:rPr>
        <w:t xml:space="preserve"> and immediately shows bravery and strength, which is reflective of </w:t>
      </w:r>
      <w:r w:rsidR="003A64F1">
        <w:rPr>
          <w:rFonts w:ascii="Times New Roman" w:hAnsi="Times New Roman" w:cs="Times New Roman"/>
        </w:rPr>
        <w:t>Joan’s actual existence</w:t>
      </w:r>
      <w:r>
        <w:rPr>
          <w:rFonts w:ascii="Times New Roman" w:hAnsi="Times New Roman" w:cs="Times New Roman"/>
        </w:rPr>
        <w:t xml:space="preserve">. While Joan explains the visions from the saints, and how she must save France, she states that her “courage </w:t>
      </w:r>
      <w:proofErr w:type="gramStart"/>
      <w:r>
        <w:rPr>
          <w:rFonts w:ascii="Times New Roman" w:hAnsi="Times New Roman" w:cs="Times New Roman"/>
        </w:rPr>
        <w:t>try</w:t>
      </w:r>
      <w:proofErr w:type="gramEnd"/>
      <w:r>
        <w:rPr>
          <w:rFonts w:ascii="Times New Roman" w:hAnsi="Times New Roman" w:cs="Times New Roman"/>
        </w:rPr>
        <w:t xml:space="preserve"> by combat, if thou </w:t>
      </w:r>
      <w:proofErr w:type="spellStart"/>
      <w:r>
        <w:rPr>
          <w:rFonts w:ascii="Times New Roman" w:hAnsi="Times New Roman" w:cs="Times New Roman"/>
        </w:rPr>
        <w:t>dar’st</w:t>
      </w:r>
      <w:proofErr w:type="spellEnd"/>
      <w:r>
        <w:rPr>
          <w:rFonts w:ascii="Times New Roman" w:hAnsi="Times New Roman" w:cs="Times New Roman"/>
        </w:rPr>
        <w:t xml:space="preserve">, / And thou shalt find that I exceed my sex” (1.3.90-91). She condemns the gender norms which are placed on her by society and believes herself to be a warrior and will prove herself to be far more than just a woman. </w:t>
      </w:r>
      <w:r w:rsidR="00C75E81">
        <w:rPr>
          <w:rFonts w:ascii="Times New Roman" w:hAnsi="Times New Roman" w:cs="Times New Roman"/>
        </w:rPr>
        <w:t xml:space="preserve">While these characteristics in Joan are celebrated in modern feminist contexts, at the time, Shakespeare wrote several of his works for the English monarchy. Joan’s challenge of English gender roles and norms, which were upheld by the monarchy, would have been seen as deviant. </w:t>
      </w:r>
      <w:r w:rsidR="00F1136B">
        <w:rPr>
          <w:rFonts w:ascii="Times New Roman" w:hAnsi="Times New Roman" w:cs="Times New Roman"/>
        </w:rPr>
        <w:t xml:space="preserve">Joan’s character would not be seen as a heroine, but the enemy. </w:t>
      </w:r>
      <w:r w:rsidR="008E02AB">
        <w:rPr>
          <w:rFonts w:ascii="Times New Roman" w:hAnsi="Times New Roman" w:cs="Times New Roman"/>
        </w:rPr>
        <w:t>Warren’s article discusses a</w:t>
      </w:r>
      <w:r w:rsidR="000A3B7D">
        <w:rPr>
          <w:rFonts w:ascii="Times New Roman" w:hAnsi="Times New Roman" w:cs="Times New Roman"/>
        </w:rPr>
        <w:t xml:space="preserve">n </w:t>
      </w:r>
      <w:r w:rsidR="008E02AB">
        <w:rPr>
          <w:rFonts w:ascii="Times New Roman" w:hAnsi="Times New Roman" w:cs="Times New Roman"/>
        </w:rPr>
        <w:t>adaptation of Joan in</w:t>
      </w:r>
      <w:r>
        <w:rPr>
          <w:rFonts w:ascii="Times New Roman" w:hAnsi="Times New Roman" w:cs="Times New Roman"/>
        </w:rPr>
        <w:t xml:space="preserve"> </w:t>
      </w:r>
      <w:r>
        <w:rPr>
          <w:rFonts w:ascii="Times New Roman" w:hAnsi="Times New Roman" w:cs="Times New Roman"/>
          <w:i/>
          <w:iCs/>
        </w:rPr>
        <w:t xml:space="preserve">The City of </w:t>
      </w:r>
      <w:r w:rsidRPr="00730809">
        <w:rPr>
          <w:rFonts w:ascii="Times New Roman" w:hAnsi="Times New Roman" w:cs="Times New Roman"/>
          <w:i/>
          <w:iCs/>
        </w:rPr>
        <w:t>Ladies</w:t>
      </w:r>
      <w:r w:rsidR="008E02AB">
        <w:rPr>
          <w:rFonts w:ascii="Times New Roman" w:hAnsi="Times New Roman" w:cs="Times New Roman"/>
        </w:rPr>
        <w:t xml:space="preserve"> by Christine De Pizan</w:t>
      </w:r>
      <w:r w:rsidR="00E75F68">
        <w:rPr>
          <w:rFonts w:ascii="Times New Roman" w:hAnsi="Times New Roman" w:cs="Times New Roman"/>
        </w:rPr>
        <w:t>, where h</w:t>
      </w:r>
      <w:r w:rsidR="008E02AB">
        <w:rPr>
          <w:rFonts w:ascii="Times New Roman" w:hAnsi="Times New Roman" w:cs="Times New Roman"/>
        </w:rPr>
        <w:t>e</w:t>
      </w:r>
      <w:r>
        <w:rPr>
          <w:rFonts w:ascii="Times New Roman" w:hAnsi="Times New Roman" w:cs="Times New Roman"/>
        </w:rPr>
        <w:t xml:space="preserve"> argues that “the length at which and the </w:t>
      </w:r>
      <w:r w:rsidRPr="009A44FD">
        <w:rPr>
          <w:rFonts w:ascii="Times New Roman" w:hAnsi="Times New Roman" w:cs="Times New Roman"/>
        </w:rPr>
        <w:t>vehemence</w:t>
      </w:r>
      <w:r>
        <w:rPr>
          <w:rFonts w:ascii="Times New Roman" w:hAnsi="Times New Roman" w:cs="Times New Roman"/>
        </w:rPr>
        <w:t xml:space="preserve"> with which [Joan] is discussed in a text written nearly a hundred years after her death suggests that she was </w:t>
      </w:r>
      <w:r>
        <w:rPr>
          <w:rFonts w:ascii="Times New Roman" w:hAnsi="Times New Roman" w:cs="Times New Roman"/>
          <w:i/>
          <w:iCs/>
        </w:rPr>
        <w:t>still</w:t>
      </w:r>
      <w:r>
        <w:rPr>
          <w:rFonts w:ascii="Times New Roman" w:hAnsi="Times New Roman" w:cs="Times New Roman"/>
        </w:rPr>
        <w:t xml:space="preserve"> causing trouble for the English” (433). </w:t>
      </w:r>
      <w:r w:rsidR="007C2DC6">
        <w:rPr>
          <w:rFonts w:ascii="Times New Roman" w:hAnsi="Times New Roman" w:cs="Times New Roman"/>
        </w:rPr>
        <w:t xml:space="preserve">Her position as a military leader disrupted traditional gender norms and would start a domino effect in England. </w:t>
      </w:r>
      <w:r w:rsidR="008E02AB">
        <w:rPr>
          <w:rFonts w:ascii="Times New Roman" w:hAnsi="Times New Roman" w:cs="Times New Roman"/>
        </w:rPr>
        <w:t>Despite her character being</w:t>
      </w:r>
      <w:r w:rsidR="00E75F68">
        <w:rPr>
          <w:rFonts w:ascii="Times New Roman" w:hAnsi="Times New Roman" w:cs="Times New Roman"/>
        </w:rPr>
        <w:t xml:space="preserve"> </w:t>
      </w:r>
      <w:r w:rsidR="00BC3A72">
        <w:rPr>
          <w:rFonts w:ascii="Times New Roman" w:hAnsi="Times New Roman" w:cs="Times New Roman"/>
        </w:rPr>
        <w:t xml:space="preserve">demonized by the English, </w:t>
      </w:r>
      <w:r w:rsidR="00AF1C7B">
        <w:rPr>
          <w:rFonts w:ascii="Times New Roman" w:hAnsi="Times New Roman" w:cs="Times New Roman"/>
        </w:rPr>
        <w:t>she</w:t>
      </w:r>
      <w:r w:rsidR="003E5E22">
        <w:rPr>
          <w:rFonts w:ascii="Times New Roman" w:hAnsi="Times New Roman" w:cs="Times New Roman"/>
        </w:rPr>
        <w:t xml:space="preserve"> continued to be adapted</w:t>
      </w:r>
      <w:r w:rsidR="00AF1C7B">
        <w:rPr>
          <w:rFonts w:ascii="Times New Roman" w:hAnsi="Times New Roman" w:cs="Times New Roman"/>
        </w:rPr>
        <w:t xml:space="preserve"> </w:t>
      </w:r>
      <w:r w:rsidR="00F840A8">
        <w:rPr>
          <w:rFonts w:ascii="Times New Roman" w:hAnsi="Times New Roman" w:cs="Times New Roman"/>
        </w:rPr>
        <w:t>in</w:t>
      </w:r>
      <w:r w:rsidR="00AF1C7B">
        <w:rPr>
          <w:rFonts w:ascii="Times New Roman" w:hAnsi="Times New Roman" w:cs="Times New Roman"/>
        </w:rPr>
        <w:t xml:space="preserve"> future </w:t>
      </w:r>
      <w:r w:rsidR="005767FB">
        <w:rPr>
          <w:rFonts w:ascii="Times New Roman" w:hAnsi="Times New Roman" w:cs="Times New Roman"/>
        </w:rPr>
        <w:t>works of literature</w:t>
      </w:r>
      <w:r w:rsidR="007C2DC6">
        <w:rPr>
          <w:rFonts w:ascii="Times New Roman" w:hAnsi="Times New Roman" w:cs="Times New Roman"/>
        </w:rPr>
        <w:t xml:space="preserve">, like </w:t>
      </w:r>
      <w:r w:rsidR="007C2DC6">
        <w:rPr>
          <w:rFonts w:ascii="Times New Roman" w:hAnsi="Times New Roman" w:cs="Times New Roman"/>
          <w:i/>
          <w:iCs/>
        </w:rPr>
        <w:t xml:space="preserve">Henry </w:t>
      </w:r>
      <w:r w:rsidR="007C2DC6" w:rsidRPr="007C2DC6">
        <w:rPr>
          <w:rFonts w:ascii="Times New Roman" w:hAnsi="Times New Roman" w:cs="Times New Roman"/>
          <w:i/>
          <w:iCs/>
        </w:rPr>
        <w:t>VI</w:t>
      </w:r>
      <w:r w:rsidR="007C2DC6">
        <w:rPr>
          <w:rFonts w:ascii="Times New Roman" w:hAnsi="Times New Roman" w:cs="Times New Roman"/>
        </w:rPr>
        <w:t>, which was thought to be published nearly 200 years after her death</w:t>
      </w:r>
      <w:r w:rsidR="008E02AB">
        <w:rPr>
          <w:rFonts w:ascii="Times New Roman" w:hAnsi="Times New Roman" w:cs="Times New Roman"/>
        </w:rPr>
        <w:t xml:space="preserve">. </w:t>
      </w:r>
      <w:r w:rsidRPr="008E02AB">
        <w:rPr>
          <w:rFonts w:ascii="Times New Roman" w:hAnsi="Times New Roman" w:cs="Times New Roman"/>
        </w:rPr>
        <w:t>Shakespeare’s</w:t>
      </w:r>
      <w:r>
        <w:rPr>
          <w:rFonts w:ascii="Times New Roman" w:hAnsi="Times New Roman" w:cs="Times New Roman"/>
        </w:rPr>
        <w:t xml:space="preserve"> character Talbot refers to Joan as “that witch, that damned sorceress,” which provides insight into the </w:t>
      </w:r>
      <w:r>
        <w:rPr>
          <w:rFonts w:ascii="Times New Roman" w:hAnsi="Times New Roman" w:cs="Times New Roman"/>
        </w:rPr>
        <w:lastRenderedPageBreak/>
        <w:t xml:space="preserve">common perspective of Joan by the English (3.2.38). This proves the major political and social impact Joan had and further justifies Warren’s argument. </w:t>
      </w:r>
      <w:r w:rsidR="007A7615">
        <w:rPr>
          <w:rFonts w:ascii="Times New Roman" w:hAnsi="Times New Roman" w:cs="Times New Roman"/>
        </w:rPr>
        <w:t>The controversy surrounding Joan’s character in adaptations and real</w:t>
      </w:r>
      <w:r w:rsidR="008E0397">
        <w:rPr>
          <w:rFonts w:ascii="Times New Roman" w:hAnsi="Times New Roman" w:cs="Times New Roman"/>
        </w:rPr>
        <w:t xml:space="preserve"> </w:t>
      </w:r>
      <w:r w:rsidR="007A7615">
        <w:rPr>
          <w:rFonts w:ascii="Times New Roman" w:hAnsi="Times New Roman" w:cs="Times New Roman"/>
        </w:rPr>
        <w:t>life challenged a woman’s role in society</w:t>
      </w:r>
      <w:r w:rsidR="008E0397">
        <w:rPr>
          <w:rFonts w:ascii="Times New Roman" w:hAnsi="Times New Roman" w:cs="Times New Roman"/>
        </w:rPr>
        <w:t xml:space="preserve">. </w:t>
      </w:r>
      <w:r w:rsidR="007A7615">
        <w:rPr>
          <w:rFonts w:ascii="Times New Roman" w:hAnsi="Times New Roman" w:cs="Times New Roman"/>
        </w:rPr>
        <w:t>Her role as a warrior challenged femininity in England and disrupted the patriarch</w:t>
      </w:r>
      <w:r w:rsidR="00FD1131">
        <w:rPr>
          <w:rFonts w:ascii="Times New Roman" w:hAnsi="Times New Roman" w:cs="Times New Roman"/>
        </w:rPr>
        <w:t xml:space="preserve">al norms. </w:t>
      </w:r>
    </w:p>
    <w:p w14:paraId="4220E8FE" w14:textId="3E4B8524" w:rsidR="00FA5C99" w:rsidRDefault="00FA5C99" w:rsidP="00C75E81">
      <w:pPr>
        <w:spacing w:after="0" w:line="480" w:lineRule="auto"/>
        <w:ind w:firstLine="720"/>
        <w:rPr>
          <w:rFonts w:ascii="Times New Roman" w:hAnsi="Times New Roman" w:cs="Times New Roman"/>
          <w:color w:val="3A3A3A"/>
          <w:shd w:val="clear" w:color="auto" w:fill="FFFFFF"/>
        </w:rPr>
      </w:pPr>
      <w:r>
        <w:rPr>
          <w:rFonts w:ascii="Times New Roman" w:hAnsi="Times New Roman" w:cs="Times New Roman"/>
        </w:rPr>
        <w:t xml:space="preserve">Joan continues to be studied in more modern contexts like in Carl Theodor Dreyer’s silent film, </w:t>
      </w:r>
      <w:r>
        <w:rPr>
          <w:rFonts w:ascii="Times New Roman" w:hAnsi="Times New Roman" w:cs="Times New Roman"/>
          <w:i/>
          <w:iCs/>
        </w:rPr>
        <w:t>The Passion of Joan of Arc</w:t>
      </w:r>
      <w:r>
        <w:rPr>
          <w:rFonts w:ascii="Times New Roman" w:hAnsi="Times New Roman" w:cs="Times New Roman"/>
        </w:rPr>
        <w:t xml:space="preserve"> in 1928 (</w:t>
      </w:r>
      <w:r w:rsidRPr="008948DD">
        <w:rPr>
          <w:rFonts w:ascii="Times New Roman" w:hAnsi="Times New Roman" w:cs="Times New Roman"/>
          <w:color w:val="3A3A3A"/>
          <w:shd w:val="clear" w:color="auto" w:fill="FFFFFF"/>
        </w:rPr>
        <w:t>Guðmundsdóttir</w:t>
      </w:r>
      <w:r>
        <w:rPr>
          <w:rFonts w:ascii="Times New Roman" w:hAnsi="Times New Roman" w:cs="Times New Roman"/>
          <w:color w:val="3A3A3A"/>
          <w:shd w:val="clear" w:color="auto" w:fill="FFFFFF"/>
        </w:rPr>
        <w:t xml:space="preserve"> 372). </w:t>
      </w:r>
      <w:r w:rsidRPr="008948DD">
        <w:rPr>
          <w:rFonts w:ascii="Times New Roman" w:hAnsi="Times New Roman" w:cs="Times New Roman"/>
          <w:color w:val="3A3A3A"/>
          <w:shd w:val="clear" w:color="auto" w:fill="FFFFFF"/>
        </w:rPr>
        <w:t>Guðmundsdóttir</w:t>
      </w:r>
      <w:r>
        <w:rPr>
          <w:rFonts w:ascii="Times New Roman" w:hAnsi="Times New Roman" w:cs="Times New Roman"/>
          <w:color w:val="3A3A3A"/>
          <w:shd w:val="clear" w:color="auto" w:fill="FFFFFF"/>
        </w:rPr>
        <w:t xml:space="preserve"> argues that Dreyer’s adaptation of Joan “provides a vivid image of Jesus Christ that challenges our fixation on Jesus’ maleness,” which portrays a different perspective than that of Shakespeare (372). </w:t>
      </w:r>
      <w:r w:rsidR="003E5E22">
        <w:rPr>
          <w:rFonts w:ascii="Times New Roman" w:hAnsi="Times New Roman" w:cs="Times New Roman"/>
          <w:color w:val="3A3A3A"/>
          <w:shd w:val="clear" w:color="auto" w:fill="FFFFFF"/>
        </w:rPr>
        <w:t xml:space="preserve">The silent film challenges the demonized Joan that historically has been portrayed in English literature. </w:t>
      </w:r>
      <w:r>
        <w:rPr>
          <w:rFonts w:ascii="Times New Roman" w:hAnsi="Times New Roman" w:cs="Times New Roman"/>
          <w:color w:val="3A3A3A"/>
          <w:shd w:val="clear" w:color="auto" w:fill="FFFFFF"/>
        </w:rPr>
        <w:t xml:space="preserve">Despite the film being nearly 100 years old, arguments like </w:t>
      </w:r>
      <w:r w:rsidRPr="008948DD">
        <w:rPr>
          <w:rFonts w:ascii="Times New Roman" w:hAnsi="Times New Roman" w:cs="Times New Roman"/>
          <w:color w:val="3A3A3A"/>
          <w:shd w:val="clear" w:color="auto" w:fill="FFFFFF"/>
        </w:rPr>
        <w:t>Guðmundsdóttir</w:t>
      </w:r>
      <w:r>
        <w:rPr>
          <w:rFonts w:ascii="Times New Roman" w:hAnsi="Times New Roman" w:cs="Times New Roman"/>
          <w:color w:val="3A3A3A"/>
          <w:shd w:val="clear" w:color="auto" w:fill="FFFFFF"/>
        </w:rPr>
        <w:t xml:space="preserve">’s prove Joan’s prevalence in modern contexts. Further, adaptations like Dreyer’s give Joan more empathy and understanding than Shakespeare’s. </w:t>
      </w:r>
      <w:r w:rsidRPr="008948DD">
        <w:rPr>
          <w:rFonts w:ascii="Times New Roman" w:hAnsi="Times New Roman" w:cs="Times New Roman"/>
          <w:color w:val="3A3A3A"/>
          <w:shd w:val="clear" w:color="auto" w:fill="FFFFFF"/>
        </w:rPr>
        <w:t>Guðmundsdóttir</w:t>
      </w:r>
      <w:r>
        <w:rPr>
          <w:rFonts w:ascii="Times New Roman" w:hAnsi="Times New Roman" w:cs="Times New Roman"/>
          <w:color w:val="3A3A3A"/>
          <w:shd w:val="clear" w:color="auto" w:fill="FFFFFF"/>
        </w:rPr>
        <w:t xml:space="preserve"> discusses Dreyer’s intentions were “to affect the audience, so that they would feel in their own skin the sufferings that Joan endured” (373-374). Modern feminist perspectives of Joan display a lot of support for her, and for the boundaries she pushed regarding gender norms. Despite the English patriarchy's best efforts to undermine the accomplishments of Joan through demonized adaptations of her, modern perspectives display the importance of her political and social role. </w:t>
      </w:r>
    </w:p>
    <w:p w14:paraId="56229A53" w14:textId="77777777" w:rsidR="00FA5C99" w:rsidRDefault="00FA5C99" w:rsidP="00FA5C99">
      <w:pPr>
        <w:spacing w:after="0" w:line="480" w:lineRule="auto"/>
        <w:rPr>
          <w:rFonts w:ascii="Times New Roman" w:hAnsi="Times New Roman" w:cs="Times New Roman"/>
          <w:i/>
          <w:iCs/>
          <w:color w:val="3A3A3A"/>
          <w:shd w:val="clear" w:color="auto" w:fill="FFFFFF"/>
        </w:rPr>
      </w:pPr>
      <w:r>
        <w:rPr>
          <w:rFonts w:ascii="Times New Roman" w:hAnsi="Times New Roman" w:cs="Times New Roman"/>
          <w:i/>
          <w:iCs/>
          <w:color w:val="3A3A3A"/>
          <w:shd w:val="clear" w:color="auto" w:fill="FFFFFF"/>
        </w:rPr>
        <w:t>Henry VI, Part 2</w:t>
      </w:r>
    </w:p>
    <w:p w14:paraId="634EB522" w14:textId="515FAADD" w:rsidR="008818DA" w:rsidRDefault="00FA5C99" w:rsidP="00FA5C99">
      <w:pPr>
        <w:spacing w:line="480" w:lineRule="auto"/>
        <w:rPr>
          <w:rFonts w:ascii="Times New Roman" w:hAnsi="Times New Roman" w:cs="Times New Roman"/>
        </w:rPr>
      </w:pPr>
      <w:r>
        <w:rPr>
          <w:rFonts w:ascii="Times New Roman" w:hAnsi="Times New Roman" w:cs="Times New Roman"/>
          <w:color w:val="3A3A3A"/>
          <w:shd w:val="clear" w:color="auto" w:fill="FFFFFF"/>
        </w:rPr>
        <w:tab/>
        <w:t xml:space="preserve">Joan, of course, was not the only French woman Shakespeare demonized in </w:t>
      </w:r>
      <w:r w:rsidR="008F031C">
        <w:rPr>
          <w:rFonts w:ascii="Times New Roman" w:hAnsi="Times New Roman" w:cs="Times New Roman"/>
          <w:color w:val="3A3A3A"/>
          <w:shd w:val="clear" w:color="auto" w:fill="FFFFFF"/>
        </w:rPr>
        <w:t>Shakespeare’s</w:t>
      </w:r>
      <w:r>
        <w:rPr>
          <w:rFonts w:ascii="Times New Roman" w:hAnsi="Times New Roman" w:cs="Times New Roman"/>
          <w:color w:val="3A3A3A"/>
          <w:shd w:val="clear" w:color="auto" w:fill="FFFFFF"/>
        </w:rPr>
        <w:t xml:space="preserve"> </w:t>
      </w:r>
      <w:r>
        <w:rPr>
          <w:rFonts w:ascii="Times New Roman" w:hAnsi="Times New Roman" w:cs="Times New Roman"/>
          <w:i/>
          <w:iCs/>
          <w:color w:val="3A3A3A"/>
          <w:shd w:val="clear" w:color="auto" w:fill="FFFFFF"/>
        </w:rPr>
        <w:t>Henry VI</w:t>
      </w:r>
      <w:r>
        <w:rPr>
          <w:rFonts w:ascii="Times New Roman" w:hAnsi="Times New Roman" w:cs="Times New Roman"/>
          <w:color w:val="3A3A3A"/>
          <w:shd w:val="clear" w:color="auto" w:fill="FFFFFF"/>
        </w:rPr>
        <w:t xml:space="preserve"> trilogy. Margaret of Anjou</w:t>
      </w:r>
      <w:r w:rsidR="00CE2A94">
        <w:rPr>
          <w:rFonts w:ascii="Times New Roman" w:hAnsi="Times New Roman" w:cs="Times New Roman"/>
          <w:color w:val="3A3A3A"/>
          <w:shd w:val="clear" w:color="auto" w:fill="FFFFFF"/>
        </w:rPr>
        <w:t xml:space="preserve"> </w:t>
      </w:r>
      <w:r>
        <w:rPr>
          <w:rFonts w:ascii="Times New Roman" w:hAnsi="Times New Roman" w:cs="Times New Roman"/>
          <w:color w:val="3A3A3A"/>
          <w:shd w:val="clear" w:color="auto" w:fill="FFFFFF"/>
        </w:rPr>
        <w:t xml:space="preserve">also was portrayed as “pitiless and cruel” because she was a French woman in medieval England “who dared to seize and exercise power” (Lee 183). Lee argues that “Shakespeare used this ‘she-wolf of France,’ this ‘tiger’s heart wrapped in a woman’s hide’ to personify but also to comment upon feminine rule” (184). </w:t>
      </w:r>
      <w:r w:rsidR="00995A79">
        <w:rPr>
          <w:rFonts w:ascii="Times New Roman" w:hAnsi="Times New Roman" w:cs="Times New Roman"/>
          <w:color w:val="3A3A3A"/>
          <w:shd w:val="clear" w:color="auto" w:fill="FFFFFF"/>
        </w:rPr>
        <w:t xml:space="preserve">France </w:t>
      </w:r>
      <w:r w:rsidR="00995A79">
        <w:rPr>
          <w:rFonts w:ascii="Times New Roman" w:hAnsi="Times New Roman" w:cs="Times New Roman"/>
          <w:color w:val="3A3A3A"/>
          <w:shd w:val="clear" w:color="auto" w:fill="FFFFFF"/>
        </w:rPr>
        <w:lastRenderedPageBreak/>
        <w:t>had some female rulers throughout their history due to needing to step in for their husbands</w:t>
      </w:r>
      <w:r>
        <w:rPr>
          <w:rFonts w:ascii="Times New Roman" w:hAnsi="Times New Roman" w:cs="Times New Roman"/>
          <w:color w:val="3A3A3A"/>
          <w:shd w:val="clear" w:color="auto" w:fill="FFFFFF"/>
        </w:rPr>
        <w:t>.</w:t>
      </w:r>
      <w:r w:rsidR="00995A79">
        <w:rPr>
          <w:rFonts w:ascii="Times New Roman" w:hAnsi="Times New Roman" w:cs="Times New Roman"/>
          <w:color w:val="3A3A3A"/>
          <w:shd w:val="clear" w:color="auto" w:fill="FFFFFF"/>
        </w:rPr>
        <w:t xml:space="preserve"> However, this was unheard of in England and completely went against a woman’s role in society.</w:t>
      </w:r>
      <w:r w:rsidR="00DF3E59">
        <w:rPr>
          <w:rFonts w:ascii="Times New Roman" w:hAnsi="Times New Roman" w:cs="Times New Roman"/>
          <w:color w:val="3A3A3A"/>
          <w:shd w:val="clear" w:color="auto" w:fill="FFFFFF"/>
        </w:rPr>
        <w:t xml:space="preserve"> </w:t>
      </w:r>
      <w:r w:rsidR="00E81112">
        <w:rPr>
          <w:rFonts w:ascii="Times New Roman" w:hAnsi="Times New Roman" w:cs="Times New Roman"/>
          <w:color w:val="3A3A3A"/>
          <w:shd w:val="clear" w:color="auto" w:fill="FFFFFF"/>
        </w:rPr>
        <w:t>If a woman was capable of ruling, she would be identified as blood-hungr</w:t>
      </w:r>
      <w:r w:rsidR="007D5878">
        <w:rPr>
          <w:rFonts w:ascii="Times New Roman" w:hAnsi="Times New Roman" w:cs="Times New Roman"/>
          <w:color w:val="3A3A3A"/>
          <w:shd w:val="clear" w:color="auto" w:fill="FFFFFF"/>
        </w:rPr>
        <w:t>y,</w:t>
      </w:r>
      <w:r w:rsidR="00E81112">
        <w:rPr>
          <w:rFonts w:ascii="Times New Roman" w:hAnsi="Times New Roman" w:cs="Times New Roman"/>
          <w:color w:val="3A3A3A"/>
          <w:shd w:val="clear" w:color="auto" w:fill="FFFFFF"/>
        </w:rPr>
        <w:t xml:space="preserve"> deviant,</w:t>
      </w:r>
      <w:r w:rsidR="007D5878">
        <w:rPr>
          <w:rFonts w:ascii="Times New Roman" w:hAnsi="Times New Roman" w:cs="Times New Roman"/>
          <w:color w:val="3A3A3A"/>
          <w:shd w:val="clear" w:color="auto" w:fill="FFFFFF"/>
        </w:rPr>
        <w:t xml:space="preserve"> or cruel,</w:t>
      </w:r>
      <w:r w:rsidR="00E81112">
        <w:rPr>
          <w:rFonts w:ascii="Times New Roman" w:hAnsi="Times New Roman" w:cs="Times New Roman"/>
          <w:color w:val="3A3A3A"/>
          <w:shd w:val="clear" w:color="auto" w:fill="FFFFFF"/>
        </w:rPr>
        <w:t xml:space="preserve"> which is shown in Shakespeare’s characterizations of Margaret. </w:t>
      </w:r>
      <w:r w:rsidR="007D5878">
        <w:rPr>
          <w:rFonts w:ascii="Times New Roman" w:hAnsi="Times New Roman" w:cs="Times New Roman"/>
          <w:color w:val="3A3A3A"/>
          <w:shd w:val="clear" w:color="auto" w:fill="FFFFFF"/>
        </w:rPr>
        <w:t>The</w:t>
      </w:r>
      <w:r w:rsidR="008A5C0F">
        <w:rPr>
          <w:rFonts w:ascii="Times New Roman" w:hAnsi="Times New Roman" w:cs="Times New Roman"/>
          <w:color w:val="3A3A3A"/>
          <w:shd w:val="clear" w:color="auto" w:fill="FFFFFF"/>
        </w:rPr>
        <w:t>se</w:t>
      </w:r>
      <w:r w:rsidR="007D5878">
        <w:rPr>
          <w:rFonts w:ascii="Times New Roman" w:hAnsi="Times New Roman" w:cs="Times New Roman"/>
          <w:color w:val="3A3A3A"/>
          <w:shd w:val="clear" w:color="auto" w:fill="FFFFFF"/>
        </w:rPr>
        <w:t xml:space="preserve"> masculine traits </w:t>
      </w:r>
      <w:r w:rsidR="008A5C0F">
        <w:rPr>
          <w:rFonts w:ascii="Times New Roman" w:hAnsi="Times New Roman" w:cs="Times New Roman"/>
          <w:color w:val="3A3A3A"/>
          <w:shd w:val="clear" w:color="auto" w:fill="FFFFFF"/>
        </w:rPr>
        <w:t xml:space="preserve">that </w:t>
      </w:r>
      <w:r w:rsidR="007D5878">
        <w:rPr>
          <w:rFonts w:ascii="Times New Roman" w:hAnsi="Times New Roman" w:cs="Times New Roman"/>
          <w:color w:val="3A3A3A"/>
          <w:shd w:val="clear" w:color="auto" w:fill="FFFFFF"/>
        </w:rPr>
        <w:t>Margaret presented, such as exercising her power on the English throne, made her a target to the English, despite her stepping up for the English at a time when Henry was unfit to rule. Regardless, t</w:t>
      </w:r>
      <w:r w:rsidR="00DF3E59">
        <w:rPr>
          <w:rFonts w:ascii="Times New Roman" w:hAnsi="Times New Roman" w:cs="Times New Roman"/>
          <w:color w:val="3A3A3A"/>
          <w:shd w:val="clear" w:color="auto" w:fill="FFFFFF"/>
        </w:rPr>
        <w:t>he English patriarchy condemned this type of ruling, and it continues to be controvers</w:t>
      </w:r>
      <w:r w:rsidR="009F3C40">
        <w:rPr>
          <w:rFonts w:ascii="Times New Roman" w:hAnsi="Times New Roman" w:cs="Times New Roman"/>
          <w:color w:val="3A3A3A"/>
          <w:shd w:val="clear" w:color="auto" w:fill="FFFFFF"/>
        </w:rPr>
        <w:t>ial</w:t>
      </w:r>
      <w:r w:rsidR="00DF3E59">
        <w:rPr>
          <w:rFonts w:ascii="Times New Roman" w:hAnsi="Times New Roman" w:cs="Times New Roman"/>
          <w:color w:val="3A3A3A"/>
          <w:shd w:val="clear" w:color="auto" w:fill="FFFFFF"/>
        </w:rPr>
        <w:t xml:space="preserve"> in modern contexts.</w:t>
      </w:r>
      <w:r>
        <w:rPr>
          <w:rFonts w:ascii="Times New Roman" w:hAnsi="Times New Roman" w:cs="Times New Roman"/>
          <w:color w:val="3A3A3A"/>
          <w:shd w:val="clear" w:color="auto" w:fill="FFFFFF"/>
        </w:rPr>
        <w:t xml:space="preserve"> Warren asserts that </w:t>
      </w:r>
      <w:r>
        <w:rPr>
          <w:rFonts w:ascii="Times New Roman" w:hAnsi="Times New Roman" w:cs="Times New Roman"/>
        </w:rPr>
        <w:t>“Margaret of Anjou pursued a contrary political role from the beginning of her marriage, pressing Henry VI into capitulating to French interests by securing the English surrender of Maine and Anjou” (414). As soon as Margaret and Henry VI were wed, instead of providing an heir, she took complete charge of Henry’s decisions and became the scapegoat for his actions. It was apparent that these decisions</w:t>
      </w:r>
      <w:r w:rsidR="00BB13C7">
        <w:rPr>
          <w:rFonts w:ascii="Times New Roman" w:hAnsi="Times New Roman" w:cs="Times New Roman"/>
        </w:rPr>
        <w:t>, which often favoured France,</w:t>
      </w:r>
      <w:r>
        <w:rPr>
          <w:rFonts w:ascii="Times New Roman" w:hAnsi="Times New Roman" w:cs="Times New Roman"/>
        </w:rPr>
        <w:t xml:space="preserve"> were made due to Margaret’s influence. Her large political involvement was one of the many reasons Shakespeare likely portrayed Margaret in a negative perspective. </w:t>
      </w:r>
    </w:p>
    <w:p w14:paraId="064BD636" w14:textId="1DB88FDB" w:rsidR="00AD3A89" w:rsidRDefault="0067415E" w:rsidP="00AD3A89">
      <w:pPr>
        <w:spacing w:line="480" w:lineRule="auto"/>
        <w:ind w:firstLine="720"/>
        <w:rPr>
          <w:rFonts w:ascii="Times New Roman" w:hAnsi="Times New Roman" w:cs="Times New Roman"/>
        </w:rPr>
      </w:pPr>
      <w:r>
        <w:rPr>
          <w:rFonts w:ascii="Times New Roman" w:hAnsi="Times New Roman" w:cs="Times New Roman"/>
        </w:rPr>
        <w:t>Shakespeare’s adaptations are</w:t>
      </w:r>
      <w:r w:rsidR="00FA5C99">
        <w:rPr>
          <w:rFonts w:ascii="Times New Roman" w:hAnsi="Times New Roman" w:cs="Times New Roman"/>
        </w:rPr>
        <w:t xml:space="preserve"> what several modern retellings of Henry VI are based on, such as </w:t>
      </w:r>
      <w:r w:rsidR="00FA5C99">
        <w:rPr>
          <w:rFonts w:ascii="Times New Roman" w:hAnsi="Times New Roman" w:cs="Times New Roman"/>
          <w:i/>
          <w:iCs/>
        </w:rPr>
        <w:t>The Hollow Crown (THC)</w:t>
      </w:r>
      <w:r w:rsidR="00FA5C99">
        <w:rPr>
          <w:rFonts w:ascii="Times New Roman" w:hAnsi="Times New Roman" w:cs="Times New Roman"/>
        </w:rPr>
        <w:t xml:space="preserve">. Mendoza argues that through characters like Margaret, </w:t>
      </w:r>
      <w:r w:rsidR="00FA5C99">
        <w:rPr>
          <w:rFonts w:ascii="Times New Roman" w:hAnsi="Times New Roman" w:cs="Times New Roman"/>
          <w:i/>
          <w:iCs/>
        </w:rPr>
        <w:t>THC</w:t>
      </w:r>
      <w:r w:rsidR="00FA5C99">
        <w:rPr>
          <w:rFonts w:ascii="Times New Roman" w:hAnsi="Times New Roman" w:cs="Times New Roman"/>
        </w:rPr>
        <w:t xml:space="preserve"> “enables viewers to reflect on and reckon with the disastrous consequences of white male privilege, which includes the right to take the lands, goods, and bodies of others,” which is further amplified in their choice to cast Margaret as a Black Woman (618).</w:t>
      </w:r>
      <w:r w:rsidR="003D0CE0">
        <w:rPr>
          <w:rFonts w:ascii="Times New Roman" w:hAnsi="Times New Roman" w:cs="Times New Roman"/>
        </w:rPr>
        <w:t xml:space="preserve"> </w:t>
      </w:r>
      <w:r w:rsidR="008818DA">
        <w:rPr>
          <w:rFonts w:ascii="Times New Roman" w:hAnsi="Times New Roman" w:cs="Times New Roman"/>
        </w:rPr>
        <w:t>Casting Sophie Okonedo to play Margaret and having her be the only person of colour in the cast, presents the issue of otherness and alienation.</w:t>
      </w:r>
      <w:r w:rsidR="001073B4">
        <w:rPr>
          <w:rFonts w:ascii="Times New Roman" w:hAnsi="Times New Roman" w:cs="Times New Roman"/>
        </w:rPr>
        <w:t xml:space="preserve"> Margaret was an alien in English land as she was a dissent of the enemy.</w:t>
      </w:r>
      <w:r w:rsidR="008818DA">
        <w:rPr>
          <w:rFonts w:ascii="Times New Roman" w:hAnsi="Times New Roman" w:cs="Times New Roman"/>
        </w:rPr>
        <w:t xml:space="preserve"> </w:t>
      </w:r>
      <w:r w:rsidR="00D951DD">
        <w:rPr>
          <w:rFonts w:ascii="Times New Roman" w:hAnsi="Times New Roman" w:cs="Times New Roman"/>
        </w:rPr>
        <w:t>Further, blackness has often been demonized in Western culture</w:t>
      </w:r>
      <w:r w:rsidR="003D0CE0">
        <w:rPr>
          <w:rFonts w:ascii="Times New Roman" w:hAnsi="Times New Roman" w:cs="Times New Roman"/>
        </w:rPr>
        <w:t xml:space="preserve"> and is proven by the director, Cooke’s, reasoning for casting a black actress</w:t>
      </w:r>
      <w:r w:rsidR="00D951DD">
        <w:rPr>
          <w:rFonts w:ascii="Times New Roman" w:hAnsi="Times New Roman" w:cs="Times New Roman"/>
        </w:rPr>
        <w:t>.</w:t>
      </w:r>
      <w:r w:rsidR="003D0CE0">
        <w:rPr>
          <w:rFonts w:ascii="Times New Roman" w:hAnsi="Times New Roman" w:cs="Times New Roman"/>
        </w:rPr>
        <w:t xml:space="preserve"> Cooke argues that </w:t>
      </w:r>
      <w:proofErr w:type="spellStart"/>
      <w:r w:rsidR="003D0CE0">
        <w:rPr>
          <w:rFonts w:ascii="Times New Roman" w:hAnsi="Times New Roman" w:cs="Times New Roman"/>
        </w:rPr>
        <w:t>Okonedo’s</w:t>
      </w:r>
      <w:proofErr w:type="spellEnd"/>
      <w:r w:rsidR="003D0CE0">
        <w:rPr>
          <w:rFonts w:ascii="Times New Roman" w:hAnsi="Times New Roman" w:cs="Times New Roman"/>
        </w:rPr>
        <w:t xml:space="preserve"> </w:t>
      </w:r>
      <w:r w:rsidR="003D0CE0">
        <w:rPr>
          <w:rFonts w:ascii="Times New Roman" w:hAnsi="Times New Roman" w:cs="Times New Roman"/>
        </w:rPr>
        <w:lastRenderedPageBreak/>
        <w:t>performance provides “a wildness to her character” (qtd. in Mendoza 618).</w:t>
      </w:r>
      <w:r w:rsidR="00D951DD">
        <w:rPr>
          <w:rFonts w:ascii="Times New Roman" w:hAnsi="Times New Roman" w:cs="Times New Roman"/>
        </w:rPr>
        <w:t xml:space="preserve"> </w:t>
      </w:r>
      <w:r w:rsidR="003D0CE0">
        <w:rPr>
          <w:rFonts w:ascii="Times New Roman" w:hAnsi="Times New Roman" w:cs="Times New Roman"/>
        </w:rPr>
        <w:t xml:space="preserve">Cooke displays obvious internalized racism which regards Black Women as wild, cruel, and animalistic. His choice in casting Okonedo </w:t>
      </w:r>
      <w:r w:rsidR="00164744">
        <w:rPr>
          <w:rFonts w:ascii="Times New Roman" w:hAnsi="Times New Roman" w:cs="Times New Roman"/>
        </w:rPr>
        <w:t xml:space="preserve">mirrors </w:t>
      </w:r>
      <w:r w:rsidR="003D0CE0">
        <w:rPr>
          <w:rFonts w:ascii="Times New Roman" w:hAnsi="Times New Roman" w:cs="Times New Roman"/>
        </w:rPr>
        <w:t>demonized traits</w:t>
      </w:r>
      <w:r w:rsidR="00164744">
        <w:rPr>
          <w:rFonts w:ascii="Times New Roman" w:hAnsi="Times New Roman" w:cs="Times New Roman"/>
        </w:rPr>
        <w:t xml:space="preserve"> and is proven throughout season 2, episode 2 of </w:t>
      </w:r>
      <w:r w:rsidR="00164744">
        <w:rPr>
          <w:rFonts w:ascii="Times New Roman" w:hAnsi="Times New Roman" w:cs="Times New Roman"/>
          <w:i/>
          <w:iCs/>
        </w:rPr>
        <w:t>THC</w:t>
      </w:r>
      <w:r w:rsidR="003D0CE0">
        <w:rPr>
          <w:rFonts w:ascii="Times New Roman" w:hAnsi="Times New Roman" w:cs="Times New Roman"/>
        </w:rPr>
        <w:t>.</w:t>
      </w:r>
      <w:r w:rsidR="00164744">
        <w:rPr>
          <w:rFonts w:ascii="Times New Roman" w:hAnsi="Times New Roman" w:cs="Times New Roman"/>
        </w:rPr>
        <w:t xml:space="preserve"> </w:t>
      </w:r>
      <w:r w:rsidR="00C033F2">
        <w:rPr>
          <w:rFonts w:ascii="Times New Roman" w:hAnsi="Times New Roman" w:cs="Times New Roman"/>
        </w:rPr>
        <w:t>After Henry VI promises the throne to the Yorks following his death, Margaret condemns Henry and questions, “Aren’t thou king and wilt be forced? I shame to hear thee speak. Oh, timorous wretch” (00:26:00-</w:t>
      </w:r>
      <w:r w:rsidR="00560DBD">
        <w:rPr>
          <w:rFonts w:ascii="Times New Roman" w:hAnsi="Times New Roman" w:cs="Times New Roman"/>
        </w:rPr>
        <w:t>00:26:</w:t>
      </w:r>
      <w:r w:rsidR="00C033F2">
        <w:rPr>
          <w:rFonts w:ascii="Times New Roman" w:hAnsi="Times New Roman" w:cs="Times New Roman"/>
        </w:rPr>
        <w:t>10).</w:t>
      </w:r>
      <w:r w:rsidR="003D0CE0">
        <w:rPr>
          <w:rFonts w:ascii="Times New Roman" w:hAnsi="Times New Roman" w:cs="Times New Roman"/>
        </w:rPr>
        <w:t xml:space="preserve"> </w:t>
      </w:r>
      <w:r w:rsidR="00C033F2">
        <w:rPr>
          <w:rFonts w:ascii="Times New Roman" w:hAnsi="Times New Roman" w:cs="Times New Roman"/>
        </w:rPr>
        <w:t xml:space="preserve">Margaret’s character provides no grace or patience to Henry and is portrayed as angry and wicked. </w:t>
      </w:r>
      <w:r w:rsidR="00FA5C99">
        <w:rPr>
          <w:rFonts w:ascii="Times New Roman" w:hAnsi="Times New Roman" w:cs="Times New Roman"/>
          <w:i/>
          <w:iCs/>
        </w:rPr>
        <w:t>THC</w:t>
      </w:r>
      <w:r w:rsidR="00FA5C99">
        <w:rPr>
          <w:rFonts w:ascii="Times New Roman" w:hAnsi="Times New Roman" w:cs="Times New Roman"/>
        </w:rPr>
        <w:t xml:space="preserve"> provides insight into how even retellings of Shakespeare’s plays </w:t>
      </w:r>
      <w:r w:rsidR="003D0CE0">
        <w:rPr>
          <w:rFonts w:ascii="Times New Roman" w:hAnsi="Times New Roman" w:cs="Times New Roman"/>
        </w:rPr>
        <w:t>have been adapted to further discriminate against powerful women who disrupt the patriarchy</w:t>
      </w:r>
      <w:r w:rsidR="00C033F2">
        <w:rPr>
          <w:rFonts w:ascii="Times New Roman" w:hAnsi="Times New Roman" w:cs="Times New Roman"/>
        </w:rPr>
        <w:t>, while also providing social and political critiques of how women’s characters have been adapted throughout history</w:t>
      </w:r>
      <w:r w:rsidR="003D0CE0">
        <w:rPr>
          <w:rFonts w:ascii="Times New Roman" w:hAnsi="Times New Roman" w:cs="Times New Roman"/>
        </w:rPr>
        <w:t>.</w:t>
      </w:r>
      <w:r w:rsidR="00FA5C99">
        <w:rPr>
          <w:rFonts w:ascii="Times New Roman" w:hAnsi="Times New Roman" w:cs="Times New Roman"/>
        </w:rPr>
        <w:t xml:space="preserve"> Because of Margaret’s social and political </w:t>
      </w:r>
      <w:r w:rsidR="007D75B1">
        <w:rPr>
          <w:rFonts w:ascii="Times New Roman" w:hAnsi="Times New Roman" w:cs="Times New Roman"/>
        </w:rPr>
        <w:t>disruptions</w:t>
      </w:r>
      <w:r w:rsidR="00FA5C99">
        <w:rPr>
          <w:rFonts w:ascii="Times New Roman" w:hAnsi="Times New Roman" w:cs="Times New Roman"/>
        </w:rPr>
        <w:t xml:space="preserve">, she continues to be adapted into major productions over 500 years after her death. </w:t>
      </w:r>
    </w:p>
    <w:p w14:paraId="4437BF93" w14:textId="77777777" w:rsidR="00AD3A89" w:rsidRDefault="00AD3A89" w:rsidP="00AD3A89">
      <w:pPr>
        <w:spacing w:after="0" w:line="480" w:lineRule="auto"/>
        <w:rPr>
          <w:rFonts w:ascii="Times New Roman" w:hAnsi="Times New Roman" w:cs="Times New Roman"/>
          <w:b/>
          <w:bCs/>
        </w:rPr>
      </w:pPr>
      <w:r>
        <w:rPr>
          <w:rFonts w:ascii="Times New Roman" w:hAnsi="Times New Roman" w:cs="Times New Roman"/>
          <w:b/>
          <w:bCs/>
        </w:rPr>
        <w:t>Impacts of Rumours &amp; Gossip</w:t>
      </w:r>
    </w:p>
    <w:p w14:paraId="1B652CC3" w14:textId="77777777" w:rsidR="00A330B2" w:rsidRDefault="00493371" w:rsidP="00AD3A89">
      <w:pPr>
        <w:spacing w:after="0" w:line="48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Rumours and gossip played a </w:t>
      </w:r>
      <w:r w:rsidR="00A330B2">
        <w:rPr>
          <w:rFonts w:ascii="Times New Roman" w:hAnsi="Times New Roman" w:cs="Times New Roman"/>
        </w:rPr>
        <w:t xml:space="preserve">major role in both Joan of Arc’s and Margaret of Anjou’s characterizations in real life and their adaptations. Some rumours have become canonized and have followed both women throughout history. Such rumours and gossip undermined both women’s roles politically and socially. </w:t>
      </w:r>
    </w:p>
    <w:p w14:paraId="48F7A36A" w14:textId="45AE0EAD" w:rsidR="00A330B2" w:rsidRDefault="001E3BCD" w:rsidP="00AD3A89">
      <w:pPr>
        <w:spacing w:after="0" w:line="480" w:lineRule="auto"/>
        <w:rPr>
          <w:rFonts w:ascii="Times New Roman" w:hAnsi="Times New Roman" w:cs="Times New Roman"/>
        </w:rPr>
      </w:pPr>
      <w:r>
        <w:rPr>
          <w:rFonts w:ascii="Times New Roman" w:hAnsi="Times New Roman" w:cs="Times New Roman"/>
          <w:i/>
          <w:iCs/>
        </w:rPr>
        <w:t xml:space="preserve">Joan of Arc: Witchcraft &amp; Magic </w:t>
      </w:r>
    </w:p>
    <w:p w14:paraId="75E1BA5D" w14:textId="451EB9A1" w:rsidR="002B56BD" w:rsidRDefault="0006425F" w:rsidP="00BA5ABA">
      <w:pPr>
        <w:spacing w:line="480" w:lineRule="auto"/>
        <w:rPr>
          <w:rFonts w:ascii="Times New Roman" w:hAnsi="Times New Roman" w:cs="Times New Roman"/>
        </w:rPr>
      </w:pPr>
      <w:r>
        <w:tab/>
      </w:r>
      <w:r>
        <w:rPr>
          <w:rFonts w:ascii="Times New Roman" w:hAnsi="Times New Roman" w:cs="Times New Roman"/>
        </w:rPr>
        <w:t xml:space="preserve">Much of the controversy surrounding Joan was a result of the rumours and gossip regarding her visions from the Saints. </w:t>
      </w:r>
      <w:r w:rsidR="0090795A">
        <w:rPr>
          <w:rFonts w:ascii="Times New Roman" w:hAnsi="Times New Roman" w:cs="Times New Roman"/>
        </w:rPr>
        <w:t>In Meltzer’s article, they discuss Joan’s trial and how there were several factors which she was being tried for</w:t>
      </w:r>
      <w:r w:rsidR="00D26B0F">
        <w:rPr>
          <w:rFonts w:ascii="Times New Roman" w:hAnsi="Times New Roman" w:cs="Times New Roman"/>
        </w:rPr>
        <w:t>, not just her cross-dressing</w:t>
      </w:r>
      <w:r w:rsidR="00C307B6">
        <w:rPr>
          <w:rFonts w:ascii="Times New Roman" w:hAnsi="Times New Roman" w:cs="Times New Roman"/>
        </w:rPr>
        <w:t xml:space="preserve"> (48)</w:t>
      </w:r>
      <w:r w:rsidR="00D26B0F">
        <w:rPr>
          <w:rFonts w:ascii="Times New Roman" w:hAnsi="Times New Roman" w:cs="Times New Roman"/>
        </w:rPr>
        <w:t xml:space="preserve">. Meltzer states that the “third obsession for these judges: the infamous Fairy Tree around which young people from Domrémy, Joan’s village, gathered” (48). The reason the Fairy Tree brought so much </w:t>
      </w:r>
      <w:r w:rsidR="00D26B0F">
        <w:rPr>
          <w:rFonts w:ascii="Times New Roman" w:hAnsi="Times New Roman" w:cs="Times New Roman"/>
        </w:rPr>
        <w:lastRenderedPageBreak/>
        <w:t>controversy during her trial was “that Joan of Arc heard her voices under that tree and not, as she later testified, in her father’s fields when the church bells rang” (Meltzer 49). The chief judge on her trial, bishop Pierre Cauchon, believed the tree to be demonic since rumours soared regarding the voices Joan heard</w:t>
      </w:r>
      <w:r w:rsidR="00100815">
        <w:rPr>
          <w:rFonts w:ascii="Times New Roman" w:hAnsi="Times New Roman" w:cs="Times New Roman"/>
        </w:rPr>
        <w:t xml:space="preserve">. If Cauchon could prove that the tree was demonic, it would in turn prove Joan’s contributions to witchcraft. </w:t>
      </w:r>
      <w:r w:rsidR="00BA5ABA">
        <w:rPr>
          <w:rFonts w:ascii="Times New Roman" w:hAnsi="Times New Roman" w:cs="Times New Roman"/>
        </w:rPr>
        <w:t xml:space="preserve">His decisions were based on rumours and fear surrounding witchcraft, which he convinced himself and the rest of the trial without pinning detectives on Joan. False information and rumours drove Joan’s trial, which can also be observed through the trial manuscripts. </w:t>
      </w:r>
      <w:r w:rsidR="006C1D9E">
        <w:rPr>
          <w:rFonts w:ascii="Times New Roman" w:hAnsi="Times New Roman" w:cs="Times New Roman"/>
        </w:rPr>
        <w:t xml:space="preserve">The Fairy Tree became closely tied with Joan’s characterization, despite it having nothing to do with her visions. Meltzer explains that years after her trial, “the surviving villagers who were questioned. . . were clearly embarrassed when the tree was brought up” due to the outlandish claims that were made during her trial that were evidently just rumours and gossip (50). </w:t>
      </w:r>
      <w:r w:rsidR="00FF3B31">
        <w:rPr>
          <w:rFonts w:ascii="Times New Roman" w:hAnsi="Times New Roman" w:cs="Times New Roman"/>
        </w:rPr>
        <w:t xml:space="preserve">Despite Joan’s best efforts to separate herself from the Fairy Tree, it continues to be closely tied to her character. </w:t>
      </w:r>
      <w:r w:rsidR="00BA5ABA">
        <w:rPr>
          <w:rFonts w:ascii="Times New Roman" w:hAnsi="Times New Roman" w:cs="Times New Roman"/>
        </w:rPr>
        <w:t xml:space="preserve">Cauchon manipulated the trial into believing rumours and false information that had no basis. </w:t>
      </w:r>
      <w:r w:rsidR="00C95C10">
        <w:rPr>
          <w:rFonts w:ascii="Times New Roman" w:hAnsi="Times New Roman" w:cs="Times New Roman"/>
        </w:rPr>
        <w:t>Meltzer states that the tree was simply “a vestigial Celtic ritual that subsisted in a culture that had forgotten its origins,” and had very little to do with the pagan, demonic, witchcraft that Cauchon led the trial to believe (55). Rumours and gossip surrounding the Fairy Tree undermined the visions that Joan received from the Saints</w:t>
      </w:r>
      <w:r w:rsidR="00146B98">
        <w:rPr>
          <w:rFonts w:ascii="Times New Roman" w:hAnsi="Times New Roman" w:cs="Times New Roman"/>
        </w:rPr>
        <w:t xml:space="preserve"> and contributed to her eventual </w:t>
      </w:r>
      <w:r w:rsidR="00133CE9">
        <w:rPr>
          <w:rFonts w:ascii="Times New Roman" w:hAnsi="Times New Roman" w:cs="Times New Roman"/>
        </w:rPr>
        <w:t>death.</w:t>
      </w:r>
      <w:r w:rsidR="00146B98">
        <w:rPr>
          <w:rFonts w:ascii="Times New Roman" w:hAnsi="Times New Roman" w:cs="Times New Roman"/>
        </w:rPr>
        <w:t xml:space="preserve"> </w:t>
      </w:r>
    </w:p>
    <w:p w14:paraId="63B29937" w14:textId="5F484CE3" w:rsidR="002B56BD" w:rsidRDefault="002B56BD" w:rsidP="00BA5ABA">
      <w:pPr>
        <w:spacing w:line="480" w:lineRule="auto"/>
        <w:rPr>
          <w:rFonts w:ascii="Times New Roman" w:hAnsi="Times New Roman" w:cs="Times New Roman"/>
          <w:i/>
          <w:iCs/>
        </w:rPr>
      </w:pPr>
      <w:r>
        <w:rPr>
          <w:rFonts w:ascii="Times New Roman" w:hAnsi="Times New Roman" w:cs="Times New Roman"/>
          <w:i/>
          <w:iCs/>
        </w:rPr>
        <w:t>Margaret of Anjou</w:t>
      </w:r>
      <w:r w:rsidR="001E3BCD">
        <w:rPr>
          <w:rFonts w:ascii="Times New Roman" w:hAnsi="Times New Roman" w:cs="Times New Roman"/>
          <w:i/>
          <w:iCs/>
        </w:rPr>
        <w:t xml:space="preserve">: Adulteress </w:t>
      </w:r>
    </w:p>
    <w:p w14:paraId="78C18FBB" w14:textId="681B320B" w:rsidR="00BA5ABA" w:rsidRDefault="005F1602" w:rsidP="005F1602">
      <w:pPr>
        <w:spacing w:line="480" w:lineRule="auto"/>
        <w:ind w:firstLine="720"/>
        <w:rPr>
          <w:rFonts w:ascii="Times New Roman" w:hAnsi="Times New Roman" w:cs="Times New Roman"/>
        </w:rPr>
      </w:pPr>
      <w:r>
        <w:rPr>
          <w:rFonts w:ascii="Times New Roman" w:hAnsi="Times New Roman" w:cs="Times New Roman"/>
        </w:rPr>
        <w:t>Margaret’s political activity was a large topic of</w:t>
      </w:r>
      <w:r w:rsidR="008901A8">
        <w:rPr>
          <w:rFonts w:ascii="Times New Roman" w:hAnsi="Times New Roman" w:cs="Times New Roman"/>
        </w:rPr>
        <w:t xml:space="preserve"> rumours and</w:t>
      </w:r>
      <w:r>
        <w:rPr>
          <w:rFonts w:ascii="Times New Roman" w:hAnsi="Times New Roman" w:cs="Times New Roman"/>
        </w:rPr>
        <w:t xml:space="preserve"> gossip by the English. This led to other strings of gossip such as not producing an heir immediately after marriage, infidelity, and other harmful narratives, that portray her as the worst possible characterization during this time, a whore. This narrative was exemplified through Shakespeare’s Margaret, which deepened </w:t>
      </w:r>
      <w:r>
        <w:rPr>
          <w:rFonts w:ascii="Times New Roman" w:hAnsi="Times New Roman" w:cs="Times New Roman"/>
        </w:rPr>
        <w:lastRenderedPageBreak/>
        <w:t>the rumours.</w:t>
      </w:r>
      <w:r w:rsidR="008E6F62">
        <w:rPr>
          <w:rFonts w:ascii="Times New Roman" w:hAnsi="Times New Roman" w:cs="Times New Roman"/>
        </w:rPr>
        <w:t xml:space="preserve"> This also led to future adaptations, like </w:t>
      </w:r>
      <w:r w:rsidR="008E6F62">
        <w:rPr>
          <w:rFonts w:ascii="Times New Roman" w:hAnsi="Times New Roman" w:cs="Times New Roman"/>
          <w:i/>
          <w:iCs/>
        </w:rPr>
        <w:t>THC</w:t>
      </w:r>
      <w:r w:rsidR="008E6F62">
        <w:rPr>
          <w:rFonts w:ascii="Times New Roman" w:hAnsi="Times New Roman" w:cs="Times New Roman"/>
        </w:rPr>
        <w:t>, portraying her as a whore</w:t>
      </w:r>
      <w:r w:rsidR="00276F4E">
        <w:rPr>
          <w:rFonts w:ascii="Times New Roman" w:hAnsi="Times New Roman" w:cs="Times New Roman"/>
        </w:rPr>
        <w:t>, despite having no contextual evidence that any affair occurred during her reign</w:t>
      </w:r>
      <w:r w:rsidR="008E6F62">
        <w:rPr>
          <w:rFonts w:ascii="Times New Roman" w:hAnsi="Times New Roman" w:cs="Times New Roman"/>
        </w:rPr>
        <w:t>.</w:t>
      </w:r>
      <w:r w:rsidR="008901A8">
        <w:rPr>
          <w:rFonts w:ascii="Times New Roman" w:hAnsi="Times New Roman" w:cs="Times New Roman"/>
        </w:rPr>
        <w:t xml:space="preserve"> </w:t>
      </w:r>
      <w:r w:rsidR="008E6F62">
        <w:rPr>
          <w:rFonts w:ascii="Times New Roman" w:hAnsi="Times New Roman" w:cs="Times New Roman"/>
        </w:rPr>
        <w:t xml:space="preserve">Lee discusses how “there were imputations that Prince Edward was not in fact the son of the king” (190-191). </w:t>
      </w:r>
      <w:r w:rsidR="00AF08F0">
        <w:rPr>
          <w:rFonts w:ascii="Times New Roman" w:hAnsi="Times New Roman" w:cs="Times New Roman"/>
        </w:rPr>
        <w:t xml:space="preserve">Shakespeare incorporated these rumours about Margaret in </w:t>
      </w:r>
      <w:r w:rsidR="00AF08F0">
        <w:rPr>
          <w:rFonts w:ascii="Times New Roman" w:hAnsi="Times New Roman" w:cs="Times New Roman"/>
          <w:i/>
          <w:iCs/>
        </w:rPr>
        <w:t>Henry VI</w:t>
      </w:r>
      <w:r w:rsidR="00AF08F0">
        <w:rPr>
          <w:rFonts w:ascii="Times New Roman" w:hAnsi="Times New Roman" w:cs="Times New Roman"/>
        </w:rPr>
        <w:t xml:space="preserve"> and created a relationship between her and the Duke of Suffolk. By characterizing Margaret as a whore, she loses much of her validity and any respect the English may have had for her. Further, it undermines her ability to take over the rule during Henry VI’s reign</w:t>
      </w:r>
      <w:r w:rsidR="00BB0D37">
        <w:rPr>
          <w:rFonts w:ascii="Times New Roman" w:hAnsi="Times New Roman" w:cs="Times New Roman"/>
        </w:rPr>
        <w:t xml:space="preserve">, despite her ability to step up when no one else could. </w:t>
      </w:r>
      <w:r w:rsidR="003E42C7">
        <w:rPr>
          <w:rFonts w:ascii="Times New Roman" w:hAnsi="Times New Roman" w:cs="Times New Roman"/>
        </w:rPr>
        <w:t xml:space="preserve">In </w:t>
      </w:r>
      <w:r w:rsidR="003E42C7">
        <w:rPr>
          <w:rFonts w:ascii="Times New Roman" w:hAnsi="Times New Roman" w:cs="Times New Roman"/>
          <w:i/>
          <w:iCs/>
        </w:rPr>
        <w:t>THC</w:t>
      </w:r>
      <w:r w:rsidR="003E42C7">
        <w:rPr>
          <w:rFonts w:ascii="Times New Roman" w:hAnsi="Times New Roman" w:cs="Times New Roman"/>
        </w:rPr>
        <w:t xml:space="preserve"> Margaret’s characterization as a whore ties closely with her cruelness and bloodthirsty nature. Shortly before she stabs the Duke of York she says, “Here’s to avenge, beloved Somerset,” </w:t>
      </w:r>
      <w:r w:rsidR="003F6203">
        <w:rPr>
          <w:rFonts w:ascii="Times New Roman" w:hAnsi="Times New Roman" w:cs="Times New Roman"/>
        </w:rPr>
        <w:t xml:space="preserve">who is the man she commits adultery </w:t>
      </w:r>
      <w:r w:rsidR="00717D55">
        <w:rPr>
          <w:rFonts w:ascii="Times New Roman" w:hAnsi="Times New Roman" w:cs="Times New Roman"/>
        </w:rPr>
        <w:t>with within</w:t>
      </w:r>
      <w:r w:rsidR="003F6203">
        <w:rPr>
          <w:rFonts w:ascii="Times New Roman" w:hAnsi="Times New Roman" w:cs="Times New Roman"/>
        </w:rPr>
        <w:t xml:space="preserve"> this series </w:t>
      </w:r>
      <w:r w:rsidR="003E42C7">
        <w:rPr>
          <w:rFonts w:ascii="Times New Roman" w:hAnsi="Times New Roman" w:cs="Times New Roman"/>
        </w:rPr>
        <w:t>(00:40:05-</w:t>
      </w:r>
      <w:r w:rsidR="00560DBD">
        <w:rPr>
          <w:rFonts w:ascii="Times New Roman" w:hAnsi="Times New Roman" w:cs="Times New Roman"/>
        </w:rPr>
        <w:t>00:40:</w:t>
      </w:r>
      <w:r w:rsidR="003E42C7">
        <w:rPr>
          <w:rFonts w:ascii="Times New Roman" w:hAnsi="Times New Roman" w:cs="Times New Roman"/>
        </w:rPr>
        <w:t xml:space="preserve">15). </w:t>
      </w:r>
      <w:r w:rsidR="00717D55">
        <w:rPr>
          <w:rFonts w:ascii="Times New Roman" w:hAnsi="Times New Roman" w:cs="Times New Roman"/>
        </w:rPr>
        <w:t>Even when being a brave warrior, the directors have chosen to tie in her infidelity as if that is the only reason she could want the Duke of York dead</w:t>
      </w:r>
      <w:r w:rsidR="007B05BC">
        <w:rPr>
          <w:rFonts w:ascii="Times New Roman" w:hAnsi="Times New Roman" w:cs="Times New Roman"/>
        </w:rPr>
        <w:t xml:space="preserve">, despite him taking the throne from her son. </w:t>
      </w:r>
      <w:r w:rsidR="009A532E">
        <w:rPr>
          <w:rFonts w:ascii="Times New Roman" w:hAnsi="Times New Roman" w:cs="Times New Roman"/>
        </w:rPr>
        <w:t xml:space="preserve">The rumours regarding Margaret’s infidelity present the double standards that have carried throughout history. It is well-known knowledge that several English kings committed adultery on the regular and it did not affect any of their reputations. However, for Margaret, it characterized her entire existence, and it continues to follow her in modern contexts. </w:t>
      </w:r>
    </w:p>
    <w:p w14:paraId="0F237AFD" w14:textId="06D49D90" w:rsidR="00444160" w:rsidRDefault="00444160" w:rsidP="00444160">
      <w:pPr>
        <w:spacing w:line="480" w:lineRule="auto"/>
        <w:rPr>
          <w:rFonts w:ascii="Times New Roman" w:hAnsi="Times New Roman" w:cs="Times New Roman"/>
        </w:rPr>
      </w:pPr>
      <w:r>
        <w:rPr>
          <w:rFonts w:ascii="Times New Roman" w:hAnsi="Times New Roman" w:cs="Times New Roman"/>
          <w:b/>
          <w:bCs/>
        </w:rPr>
        <w:t>Refutation of Traditional Gender Norms</w:t>
      </w:r>
    </w:p>
    <w:p w14:paraId="047A0D23" w14:textId="46630346" w:rsidR="00444160" w:rsidRDefault="00444160" w:rsidP="00444160">
      <w:pPr>
        <w:spacing w:line="480" w:lineRule="auto"/>
        <w:rPr>
          <w:rFonts w:ascii="Times New Roman" w:hAnsi="Times New Roman" w:cs="Times New Roman"/>
        </w:rPr>
      </w:pPr>
      <w:r>
        <w:rPr>
          <w:rFonts w:ascii="Times New Roman" w:hAnsi="Times New Roman" w:cs="Times New Roman"/>
        </w:rPr>
        <w:tab/>
        <w:t>Joan and Margaret</w:t>
      </w:r>
      <w:r w:rsidR="00200529">
        <w:rPr>
          <w:rFonts w:ascii="Times New Roman" w:hAnsi="Times New Roman" w:cs="Times New Roman"/>
        </w:rPr>
        <w:t xml:space="preserve"> became</w:t>
      </w:r>
      <w:r>
        <w:rPr>
          <w:rFonts w:ascii="Times New Roman" w:hAnsi="Times New Roman" w:cs="Times New Roman"/>
        </w:rPr>
        <w:t xml:space="preserve"> widely controversial</w:t>
      </w:r>
      <w:r w:rsidR="00200529">
        <w:rPr>
          <w:rFonts w:ascii="Times New Roman" w:hAnsi="Times New Roman" w:cs="Times New Roman"/>
        </w:rPr>
        <w:t xml:space="preserve"> in medieval England</w:t>
      </w:r>
      <w:r>
        <w:rPr>
          <w:rFonts w:ascii="Times New Roman" w:hAnsi="Times New Roman" w:cs="Times New Roman"/>
        </w:rPr>
        <w:t xml:space="preserve"> due to their refutation of traditional gender norms. </w:t>
      </w:r>
      <w:r w:rsidR="00DF77C3">
        <w:rPr>
          <w:rFonts w:ascii="Times New Roman" w:hAnsi="Times New Roman" w:cs="Times New Roman"/>
        </w:rPr>
        <w:t xml:space="preserve">Much of the other topics discussed rely on their inability to remain passive and feminine like women were expected during this time. </w:t>
      </w:r>
      <w:r w:rsidR="00650B97">
        <w:rPr>
          <w:rFonts w:ascii="Times New Roman" w:hAnsi="Times New Roman" w:cs="Times New Roman"/>
        </w:rPr>
        <w:t xml:space="preserve">Arguably, their masculine characteristics were </w:t>
      </w:r>
      <w:r w:rsidR="0023501C">
        <w:rPr>
          <w:rFonts w:ascii="Times New Roman" w:hAnsi="Times New Roman" w:cs="Times New Roman"/>
        </w:rPr>
        <w:t>the defining factors that</w:t>
      </w:r>
      <w:r w:rsidR="00650B97">
        <w:rPr>
          <w:rFonts w:ascii="Times New Roman" w:hAnsi="Times New Roman" w:cs="Times New Roman"/>
        </w:rPr>
        <w:t xml:space="preserve"> allowed them to </w:t>
      </w:r>
      <w:r w:rsidR="0023501C">
        <w:rPr>
          <w:rFonts w:ascii="Times New Roman" w:hAnsi="Times New Roman" w:cs="Times New Roman"/>
        </w:rPr>
        <w:t xml:space="preserve">make a significant impact on the English patriarchy. </w:t>
      </w:r>
    </w:p>
    <w:p w14:paraId="635AFA47" w14:textId="6D75C4EC" w:rsidR="00EC3804" w:rsidRDefault="00EC3804" w:rsidP="00444160">
      <w:pPr>
        <w:spacing w:line="480" w:lineRule="auto"/>
        <w:rPr>
          <w:rFonts w:ascii="Times New Roman" w:hAnsi="Times New Roman" w:cs="Times New Roman"/>
        </w:rPr>
      </w:pPr>
      <w:r>
        <w:rPr>
          <w:rFonts w:ascii="Times New Roman" w:hAnsi="Times New Roman" w:cs="Times New Roman"/>
          <w:i/>
          <w:iCs/>
        </w:rPr>
        <w:t xml:space="preserve">Cross-Dresser &amp; </w:t>
      </w:r>
      <w:r w:rsidR="0076168C">
        <w:rPr>
          <w:rFonts w:ascii="Times New Roman" w:hAnsi="Times New Roman" w:cs="Times New Roman"/>
          <w:i/>
          <w:iCs/>
        </w:rPr>
        <w:t>Military Leader</w:t>
      </w:r>
    </w:p>
    <w:p w14:paraId="4A2A67AC" w14:textId="77777777" w:rsidR="004E788C" w:rsidRDefault="00CA2048" w:rsidP="00444160">
      <w:pPr>
        <w:spacing w:line="480" w:lineRule="auto"/>
        <w:rPr>
          <w:rFonts w:ascii="Times New Roman" w:hAnsi="Times New Roman" w:cs="Times New Roman"/>
          <w:color w:val="3A3A3A"/>
          <w:shd w:val="clear" w:color="auto" w:fill="FFFFFF"/>
        </w:rPr>
      </w:pPr>
      <w:r>
        <w:rPr>
          <w:rFonts w:ascii="Times New Roman" w:hAnsi="Times New Roman" w:cs="Times New Roman"/>
        </w:rPr>
        <w:lastRenderedPageBreak/>
        <w:tab/>
      </w:r>
      <w:r w:rsidR="00BA5F9B">
        <w:rPr>
          <w:rFonts w:ascii="Times New Roman" w:hAnsi="Times New Roman" w:cs="Times New Roman"/>
        </w:rPr>
        <w:t xml:space="preserve">Joan of Arc continually disrupted gender norms, not only through her actions but also in the ways she chose to present herself. She was well-known for her cross-dressing, which eventually was held against her during her trial. </w:t>
      </w:r>
      <w:r w:rsidR="00BA5F9B" w:rsidRPr="008948DD">
        <w:rPr>
          <w:rFonts w:ascii="Times New Roman" w:hAnsi="Times New Roman" w:cs="Times New Roman"/>
          <w:color w:val="3A3A3A"/>
          <w:shd w:val="clear" w:color="auto" w:fill="FFFFFF"/>
        </w:rPr>
        <w:t>Guðmundsdóttir</w:t>
      </w:r>
      <w:r w:rsidR="00BA5F9B">
        <w:rPr>
          <w:rFonts w:ascii="Times New Roman" w:hAnsi="Times New Roman" w:cs="Times New Roman"/>
          <w:color w:val="3A3A3A"/>
          <w:shd w:val="clear" w:color="auto" w:fill="FFFFFF"/>
        </w:rPr>
        <w:t xml:space="preserve"> argues that one of the possible reasons for Joan’s cross-dressing “was her way of protecting herself from rape” (376). This detail is often left out when discussing her cross-dressing. Rather, it is seen as a deviant threat to the English traditional norms that required women to wear dresses, corsets, and other fancy attire, even though she was fighting in battle.</w:t>
      </w:r>
      <w:r w:rsidR="003D4495">
        <w:rPr>
          <w:rFonts w:ascii="Times New Roman" w:hAnsi="Times New Roman" w:cs="Times New Roman"/>
          <w:color w:val="3A3A3A"/>
          <w:shd w:val="clear" w:color="auto" w:fill="FFFFFF"/>
        </w:rPr>
        <w:t xml:space="preserve"> In Christine De Pizan’s work </w:t>
      </w:r>
      <w:proofErr w:type="spellStart"/>
      <w:r w:rsidR="003D4495">
        <w:rPr>
          <w:rFonts w:ascii="Times New Roman" w:hAnsi="Times New Roman" w:cs="Times New Roman"/>
          <w:i/>
          <w:iCs/>
          <w:color w:val="3A3A3A"/>
          <w:shd w:val="clear" w:color="auto" w:fill="FFFFFF"/>
        </w:rPr>
        <w:t>Ditié</w:t>
      </w:r>
      <w:proofErr w:type="spellEnd"/>
      <w:r w:rsidR="003D4495">
        <w:rPr>
          <w:rFonts w:ascii="Times New Roman" w:hAnsi="Times New Roman" w:cs="Times New Roman"/>
          <w:i/>
          <w:iCs/>
          <w:color w:val="3A3A3A"/>
          <w:shd w:val="clear" w:color="auto" w:fill="FFFFFF"/>
        </w:rPr>
        <w:t xml:space="preserve"> de </w:t>
      </w:r>
      <w:proofErr w:type="spellStart"/>
      <w:r w:rsidR="003D4495">
        <w:rPr>
          <w:rFonts w:ascii="Times New Roman" w:hAnsi="Times New Roman" w:cs="Times New Roman"/>
          <w:i/>
          <w:iCs/>
          <w:color w:val="3A3A3A"/>
          <w:shd w:val="clear" w:color="auto" w:fill="FFFFFF"/>
        </w:rPr>
        <w:t>Jehanne</w:t>
      </w:r>
      <w:proofErr w:type="spellEnd"/>
      <w:r w:rsidR="003D4495">
        <w:rPr>
          <w:rFonts w:ascii="Times New Roman" w:hAnsi="Times New Roman" w:cs="Times New Roman"/>
          <w:i/>
          <w:iCs/>
          <w:color w:val="3A3A3A"/>
          <w:shd w:val="clear" w:color="auto" w:fill="FFFFFF"/>
        </w:rPr>
        <w:t xml:space="preserve"> </w:t>
      </w:r>
      <w:proofErr w:type="spellStart"/>
      <w:r w:rsidR="003D4495">
        <w:rPr>
          <w:rFonts w:ascii="Times New Roman" w:hAnsi="Times New Roman" w:cs="Times New Roman"/>
          <w:i/>
          <w:iCs/>
          <w:color w:val="3A3A3A"/>
          <w:shd w:val="clear" w:color="auto" w:fill="FFFFFF"/>
        </w:rPr>
        <w:t>d’Arc</w:t>
      </w:r>
      <w:proofErr w:type="spellEnd"/>
      <w:r w:rsidR="003D4495">
        <w:rPr>
          <w:rFonts w:ascii="Times New Roman" w:hAnsi="Times New Roman" w:cs="Times New Roman"/>
          <w:color w:val="3A3A3A"/>
          <w:shd w:val="clear" w:color="auto" w:fill="FFFFFF"/>
        </w:rPr>
        <w:t xml:space="preserve">, she describes “Joan’s symbolic emasculation of the English” as she asserted dominance over the English, which was an “honour for the female sex” (qtd. in Warren 415-416). </w:t>
      </w:r>
      <w:r w:rsidR="00CD58C2">
        <w:rPr>
          <w:rFonts w:ascii="Times New Roman" w:hAnsi="Times New Roman" w:cs="Times New Roman"/>
          <w:color w:val="3A3A3A"/>
          <w:shd w:val="clear" w:color="auto" w:fill="FFFFFF"/>
        </w:rPr>
        <w:t>It was unheard of for a woman, nonetheless, a French woman, to overpower English armies. Through Joan’s militant role, she displayed a new future for women</w:t>
      </w:r>
      <w:r w:rsidR="00467FCE">
        <w:rPr>
          <w:rFonts w:ascii="Times New Roman" w:hAnsi="Times New Roman" w:cs="Times New Roman"/>
          <w:color w:val="3A3A3A"/>
          <w:shd w:val="clear" w:color="auto" w:fill="FFFFFF"/>
        </w:rPr>
        <w:t xml:space="preserve"> and opened many doors for other women to do the same, which disrupted English norms and threatened the patriarchy. </w:t>
      </w:r>
      <w:r w:rsidR="00C338E9">
        <w:rPr>
          <w:rFonts w:ascii="Times New Roman" w:hAnsi="Times New Roman" w:cs="Times New Roman"/>
          <w:color w:val="3A3A3A"/>
          <w:shd w:val="clear" w:color="auto" w:fill="FFFFFF"/>
        </w:rPr>
        <w:t xml:space="preserve">This directly threatened the English monarchy, which regularly practiced and preached patriarchal ideas as a way to keep order in England. </w:t>
      </w:r>
    </w:p>
    <w:p w14:paraId="745BB1B0" w14:textId="6EAD3493" w:rsidR="00200FDC" w:rsidRDefault="009A17E0" w:rsidP="00E77685">
      <w:pPr>
        <w:spacing w:after="0" w:line="480" w:lineRule="auto"/>
        <w:ind w:firstLine="720"/>
        <w:rPr>
          <w:rFonts w:ascii="Times New Roman" w:hAnsi="Times New Roman" w:cs="Times New Roman"/>
          <w:color w:val="3A3A3A"/>
          <w:shd w:val="clear" w:color="auto" w:fill="FFFFFF"/>
        </w:rPr>
      </w:pPr>
      <w:r>
        <w:rPr>
          <w:rFonts w:ascii="Times New Roman" w:hAnsi="Times New Roman" w:cs="Times New Roman"/>
          <w:color w:val="3A3A3A"/>
          <w:shd w:val="clear" w:color="auto" w:fill="FFFFFF"/>
        </w:rPr>
        <w:t xml:space="preserve">The effects of her refutation of gender norms can be observed through the adaptations that emerged following her death. In </w:t>
      </w:r>
      <w:r>
        <w:rPr>
          <w:rFonts w:ascii="Times New Roman" w:hAnsi="Times New Roman" w:cs="Times New Roman"/>
          <w:i/>
          <w:iCs/>
          <w:color w:val="3A3A3A"/>
          <w:shd w:val="clear" w:color="auto" w:fill="FFFFFF"/>
        </w:rPr>
        <w:t>Henry VI, Part 1</w:t>
      </w:r>
      <w:r>
        <w:rPr>
          <w:rFonts w:ascii="Times New Roman" w:hAnsi="Times New Roman" w:cs="Times New Roman"/>
          <w:color w:val="3A3A3A"/>
          <w:shd w:val="clear" w:color="auto" w:fill="FFFFFF"/>
        </w:rPr>
        <w:t xml:space="preserve">, Shakespeare’s Joan can be characterized as blood-hungry and </w:t>
      </w:r>
      <w:r w:rsidR="00F97C93">
        <w:rPr>
          <w:rFonts w:ascii="Times New Roman" w:hAnsi="Times New Roman" w:cs="Times New Roman"/>
          <w:color w:val="3A3A3A"/>
          <w:shd w:val="clear" w:color="auto" w:fill="FFFFFF"/>
        </w:rPr>
        <w:t xml:space="preserve">egotistical. Since Shakespeare was writing for the monarchy, it is no surprise that Joan is demonized in this way. In scene five, act four, at Joan’s execution, she states, “Joan of Arc hath been / A virgin from her tender infancy, / Chaste and immaculate in every thought, / Whose maiden blood thus rigorously effused / Will cry for vengeance at the gates of heaven” (5.4.49-53). </w:t>
      </w:r>
      <w:r w:rsidR="00AD07EA">
        <w:rPr>
          <w:rFonts w:ascii="Times New Roman" w:hAnsi="Times New Roman" w:cs="Times New Roman"/>
          <w:color w:val="3A3A3A"/>
          <w:shd w:val="clear" w:color="auto" w:fill="FFFFFF"/>
        </w:rPr>
        <w:t>Joan takes on several masculine characteristics in Shakespeare’s adaptation and it presents her as vengeful and essentially threatens everyone since she believes God is on her side.</w:t>
      </w:r>
      <w:r w:rsidR="004E788C">
        <w:rPr>
          <w:rFonts w:ascii="Times New Roman" w:hAnsi="Times New Roman" w:cs="Times New Roman"/>
          <w:color w:val="3A3A3A"/>
          <w:shd w:val="clear" w:color="auto" w:fill="FFFFFF"/>
        </w:rPr>
        <w:t xml:space="preserve"> In the actual accounts of Joan’s trial, she resembles a scared girl who fears death, which </w:t>
      </w:r>
      <w:r w:rsidR="004E788C">
        <w:rPr>
          <w:rFonts w:ascii="Times New Roman" w:hAnsi="Times New Roman" w:cs="Times New Roman"/>
          <w:color w:val="3A3A3A"/>
          <w:shd w:val="clear" w:color="auto" w:fill="FFFFFF"/>
        </w:rPr>
        <w:lastRenderedPageBreak/>
        <w:t xml:space="preserve">opposes Shakespeare’s version of her. </w:t>
      </w:r>
      <w:r w:rsidR="00954BE8">
        <w:rPr>
          <w:rFonts w:ascii="Times New Roman" w:hAnsi="Times New Roman" w:cs="Times New Roman"/>
          <w:color w:val="3A3A3A"/>
          <w:shd w:val="clear" w:color="auto" w:fill="FFFFFF"/>
        </w:rPr>
        <w:t xml:space="preserve">English adaptations of Joan demonize her and present her as a cruel militant leader, despite this not being representative of her character. </w:t>
      </w:r>
    </w:p>
    <w:p w14:paraId="108B4F0B" w14:textId="47F7E691" w:rsidR="00200FDC" w:rsidRDefault="0076168C" w:rsidP="00E77685">
      <w:pPr>
        <w:spacing w:after="0" w:line="480" w:lineRule="auto"/>
        <w:rPr>
          <w:rFonts w:ascii="Times New Roman" w:hAnsi="Times New Roman" w:cs="Times New Roman"/>
          <w:color w:val="3A3A3A"/>
          <w:shd w:val="clear" w:color="auto" w:fill="FFFFFF"/>
        </w:rPr>
      </w:pPr>
      <w:r>
        <w:rPr>
          <w:rFonts w:ascii="Times New Roman" w:hAnsi="Times New Roman" w:cs="Times New Roman"/>
          <w:i/>
          <w:iCs/>
          <w:color w:val="3A3A3A"/>
          <w:shd w:val="clear" w:color="auto" w:fill="FFFFFF"/>
        </w:rPr>
        <w:t>Political Leader</w:t>
      </w:r>
      <w:r>
        <w:rPr>
          <w:rFonts w:ascii="Times New Roman" w:hAnsi="Times New Roman" w:cs="Times New Roman"/>
          <w:color w:val="3A3A3A"/>
          <w:shd w:val="clear" w:color="auto" w:fill="FFFFFF"/>
        </w:rPr>
        <w:t xml:space="preserve"> </w:t>
      </w:r>
    </w:p>
    <w:p w14:paraId="37BB4367" w14:textId="18C61BA1" w:rsidR="00E77685" w:rsidRDefault="00E77685" w:rsidP="00E77685">
      <w:pPr>
        <w:spacing w:after="0" w:line="480" w:lineRule="auto"/>
        <w:rPr>
          <w:rFonts w:ascii="Times New Roman" w:hAnsi="Times New Roman" w:cs="Times New Roman"/>
          <w:color w:val="3A3A3A"/>
          <w:shd w:val="clear" w:color="auto" w:fill="FFFFFF"/>
        </w:rPr>
      </w:pPr>
      <w:r>
        <w:rPr>
          <w:rFonts w:ascii="Times New Roman" w:hAnsi="Times New Roman" w:cs="Times New Roman"/>
          <w:color w:val="3A3A3A"/>
          <w:shd w:val="clear" w:color="auto" w:fill="FFFFFF"/>
        </w:rPr>
        <w:tab/>
        <w:t>Margaret is best known for her role as a political leader throughout King Henry VI’s reign. Her role as a political leader in England as a French woman during the War of the Roses made her vulnerable to criticisms regarding a woman’s role. Lee speculates “the pattern of Margaret’s life and the fate of her reputation had she married a different kind of man” (187). Indeed, the major reason Margaret had to refute the gender norms of the time was that her husband was “weak, inept, and finally, mentally ill, could not deal with his court or with the general governance of the realm” (Lee 187). She did not have much of a choice, but to step up in Henry’s place. Despite her best efforts to do the right thing for England, even after her son’s death, her determination to the throne was highly frowned upon. Lee argues that Margaret was “perceived as engaging in a kind of political activity which was inappropriate for a woman, whether queen or commoner</w:t>
      </w:r>
      <w:r w:rsidR="00D444E2">
        <w:rPr>
          <w:rFonts w:ascii="Times New Roman" w:hAnsi="Times New Roman" w:cs="Times New Roman"/>
          <w:color w:val="3A3A3A"/>
          <w:shd w:val="clear" w:color="auto" w:fill="FFFFFF"/>
        </w:rPr>
        <w:t>,</w:t>
      </w:r>
      <w:r>
        <w:rPr>
          <w:rFonts w:ascii="Times New Roman" w:hAnsi="Times New Roman" w:cs="Times New Roman"/>
          <w:color w:val="3A3A3A"/>
          <w:shd w:val="clear" w:color="auto" w:fill="FFFFFF"/>
        </w:rPr>
        <w:t xml:space="preserve">” </w:t>
      </w:r>
      <w:r w:rsidR="00D444E2">
        <w:rPr>
          <w:rFonts w:ascii="Times New Roman" w:hAnsi="Times New Roman" w:cs="Times New Roman"/>
          <w:color w:val="3A3A3A"/>
          <w:shd w:val="clear" w:color="auto" w:fill="FFFFFF"/>
        </w:rPr>
        <w:t xml:space="preserve">despite her not having much of a choice otherwise </w:t>
      </w:r>
      <w:r>
        <w:rPr>
          <w:rFonts w:ascii="Times New Roman" w:hAnsi="Times New Roman" w:cs="Times New Roman"/>
          <w:color w:val="3A3A3A"/>
          <w:shd w:val="clear" w:color="auto" w:fill="FFFFFF"/>
        </w:rPr>
        <w:t xml:space="preserve">(190). </w:t>
      </w:r>
      <w:r w:rsidR="0063637F">
        <w:rPr>
          <w:rFonts w:ascii="Times New Roman" w:hAnsi="Times New Roman" w:cs="Times New Roman"/>
          <w:color w:val="3A3A3A"/>
          <w:shd w:val="clear" w:color="auto" w:fill="FFFFFF"/>
        </w:rPr>
        <w:t xml:space="preserve">Margaret’s refutation of gender norms is what made her a victim of scrutiny by English citizens. Regardless of all she did for England during this difficult period, she was seen as a thief of the throne. Because of this, her reputation was not well-preserved and her inability to act as a proper Queen, instead of a King, disrupted the </w:t>
      </w:r>
      <w:r w:rsidR="00FA0076">
        <w:rPr>
          <w:rFonts w:ascii="Times New Roman" w:hAnsi="Times New Roman" w:cs="Times New Roman"/>
          <w:color w:val="3A3A3A"/>
          <w:shd w:val="clear" w:color="auto" w:fill="FFFFFF"/>
        </w:rPr>
        <w:t>traditional gender norms, which were upheld by the English</w:t>
      </w:r>
      <w:r w:rsidR="0063637F">
        <w:rPr>
          <w:rFonts w:ascii="Times New Roman" w:hAnsi="Times New Roman" w:cs="Times New Roman"/>
          <w:color w:val="3A3A3A"/>
          <w:shd w:val="clear" w:color="auto" w:fill="FFFFFF"/>
        </w:rPr>
        <w:t xml:space="preserve">. </w:t>
      </w:r>
      <w:r w:rsidR="00680CEA">
        <w:rPr>
          <w:rFonts w:ascii="Times New Roman" w:hAnsi="Times New Roman" w:cs="Times New Roman"/>
          <w:color w:val="3A3A3A"/>
          <w:shd w:val="clear" w:color="auto" w:fill="FFFFFF"/>
        </w:rPr>
        <w:t xml:space="preserve">Warren asserts that Margaret “[intervened] in ‘properly’ masculine affairs, as similar embodiments of the fused threats of feminine political agency and foreign puissance,” which threatened everything English monarchs tried to encapsulate and protect during the medieval period (415). </w:t>
      </w:r>
      <w:r w:rsidR="00B34475">
        <w:rPr>
          <w:rFonts w:ascii="Times New Roman" w:hAnsi="Times New Roman" w:cs="Times New Roman"/>
          <w:color w:val="3A3A3A"/>
          <w:shd w:val="clear" w:color="auto" w:fill="FFFFFF"/>
        </w:rPr>
        <w:t xml:space="preserve">Margaret became a scapegoat for her husband’s failures, and her inability to </w:t>
      </w:r>
      <w:r w:rsidR="00B34475">
        <w:rPr>
          <w:rFonts w:ascii="Times New Roman" w:hAnsi="Times New Roman" w:cs="Times New Roman"/>
          <w:color w:val="3A3A3A"/>
          <w:shd w:val="clear" w:color="auto" w:fill="FFFFFF"/>
        </w:rPr>
        <w:lastRenderedPageBreak/>
        <w:t xml:space="preserve">comply with traditional gender norms resulted in the demonization of her character in future literature. </w:t>
      </w:r>
    </w:p>
    <w:p w14:paraId="212E8525" w14:textId="35E86AA3" w:rsidR="00A829C3" w:rsidRDefault="00A829C3" w:rsidP="00E77685">
      <w:pPr>
        <w:spacing w:after="0" w:line="480" w:lineRule="auto"/>
        <w:rPr>
          <w:rFonts w:ascii="Times New Roman" w:hAnsi="Times New Roman" w:cs="Times New Roman"/>
          <w:b/>
          <w:bCs/>
          <w:color w:val="3A3A3A"/>
          <w:shd w:val="clear" w:color="auto" w:fill="FFFFFF"/>
        </w:rPr>
      </w:pPr>
      <w:r>
        <w:rPr>
          <w:rFonts w:ascii="Times New Roman" w:hAnsi="Times New Roman" w:cs="Times New Roman"/>
          <w:b/>
          <w:bCs/>
          <w:color w:val="3A3A3A"/>
          <w:shd w:val="clear" w:color="auto" w:fill="FFFFFF"/>
        </w:rPr>
        <w:t>Conclusion</w:t>
      </w:r>
    </w:p>
    <w:p w14:paraId="7D712BD1" w14:textId="0568A2B1" w:rsidR="00A829C3" w:rsidRPr="00A829C3" w:rsidRDefault="00C44F14" w:rsidP="00E77685">
      <w:pPr>
        <w:spacing w:after="0" w:line="480" w:lineRule="auto"/>
        <w:rPr>
          <w:rFonts w:ascii="Times New Roman" w:hAnsi="Times New Roman" w:cs="Times New Roman"/>
          <w:color w:val="3A3A3A"/>
          <w:shd w:val="clear" w:color="auto" w:fill="FFFFFF"/>
        </w:rPr>
      </w:pPr>
      <w:r>
        <w:rPr>
          <w:rFonts w:ascii="Times New Roman" w:hAnsi="Times New Roman" w:cs="Times New Roman"/>
          <w:color w:val="3A3A3A"/>
          <w:shd w:val="clear" w:color="auto" w:fill="FFFFFF"/>
        </w:rPr>
        <w:tab/>
        <w:t>French women like Joan of Arc and Margaret of Anjou have had significant impacts on the English patriarchy</w:t>
      </w:r>
      <w:r w:rsidR="005E4C07">
        <w:rPr>
          <w:rFonts w:ascii="Times New Roman" w:hAnsi="Times New Roman" w:cs="Times New Roman"/>
          <w:color w:val="3A3A3A"/>
          <w:shd w:val="clear" w:color="auto" w:fill="FFFFFF"/>
        </w:rPr>
        <w:t xml:space="preserve">, socially and politically, despite their best efforts to keep traditional norms in place. </w:t>
      </w:r>
      <w:r w:rsidR="00D17E32">
        <w:rPr>
          <w:rFonts w:ascii="Times New Roman" w:hAnsi="Times New Roman" w:cs="Times New Roman"/>
          <w:color w:val="3A3A3A"/>
          <w:shd w:val="clear" w:color="auto" w:fill="FFFFFF"/>
        </w:rPr>
        <w:t xml:space="preserve">Both women have made remarkable achievements for women’s autonomy and the role they play in society. </w:t>
      </w:r>
      <w:r w:rsidR="00543704">
        <w:rPr>
          <w:rFonts w:ascii="Times New Roman" w:hAnsi="Times New Roman" w:cs="Times New Roman"/>
          <w:color w:val="3A3A3A"/>
          <w:shd w:val="clear" w:color="auto" w:fill="FFFFFF"/>
        </w:rPr>
        <w:t xml:space="preserve">The English worked to undermine both women, their accomplishments, and all that they had done for society through harmful adaptations which demonized their characters, and rumours and gossip which titled them witches and whores. Regardless, they both continued to resist the traditional gender norms that were placed on them and acted in what they believed in, even though it was bound to bring both of them tragic endings. </w:t>
      </w:r>
      <w:r w:rsidR="00CE1A34">
        <w:rPr>
          <w:rFonts w:ascii="Times New Roman" w:hAnsi="Times New Roman" w:cs="Times New Roman"/>
          <w:color w:val="3A3A3A"/>
          <w:shd w:val="clear" w:color="auto" w:fill="FFFFFF"/>
        </w:rPr>
        <w:t xml:space="preserve">They both fought for something greater than themselves and exceeded their sex. </w:t>
      </w:r>
    </w:p>
    <w:p w14:paraId="109559A4" w14:textId="77777777" w:rsidR="001E3BCD" w:rsidRPr="00EC3804" w:rsidRDefault="001E3BCD" w:rsidP="00E77685">
      <w:pPr>
        <w:spacing w:after="0" w:line="480" w:lineRule="auto"/>
        <w:rPr>
          <w:rFonts w:ascii="Times New Roman" w:hAnsi="Times New Roman" w:cs="Times New Roman"/>
        </w:rPr>
      </w:pPr>
    </w:p>
    <w:p w14:paraId="419558D8" w14:textId="34B3F936" w:rsidR="00341564" w:rsidRPr="00AD3A89" w:rsidRDefault="00341564" w:rsidP="00AD3A89">
      <w:pPr>
        <w:spacing w:after="0" w:line="480" w:lineRule="auto"/>
        <w:rPr>
          <w:rFonts w:ascii="Times New Roman" w:hAnsi="Times New Roman" w:cs="Times New Roman"/>
        </w:rPr>
      </w:pPr>
      <w:r>
        <w:br w:type="page"/>
      </w:r>
    </w:p>
    <w:p w14:paraId="7358B619" w14:textId="3E8C7A9F" w:rsidR="00FA5C99" w:rsidRDefault="00341564" w:rsidP="00341564">
      <w:pPr>
        <w:spacing w:after="0" w:line="480" w:lineRule="auto"/>
        <w:jc w:val="center"/>
        <w:rPr>
          <w:rFonts w:ascii="Times New Roman" w:hAnsi="Times New Roman" w:cs="Times New Roman"/>
        </w:rPr>
      </w:pPr>
      <w:r w:rsidRPr="00341564">
        <w:rPr>
          <w:rFonts w:ascii="Times New Roman" w:hAnsi="Times New Roman" w:cs="Times New Roman"/>
        </w:rPr>
        <w:lastRenderedPageBreak/>
        <w:t>Works Cited</w:t>
      </w:r>
    </w:p>
    <w:p w14:paraId="17A1CE4F" w14:textId="77777777" w:rsidR="00341564" w:rsidRDefault="00341564" w:rsidP="00341564">
      <w:pPr>
        <w:spacing w:line="480" w:lineRule="auto"/>
        <w:ind w:left="720" w:hanging="720"/>
        <w:rPr>
          <w:rFonts w:ascii="Times New Roman" w:hAnsi="Times New Roman" w:cs="Times New Roman"/>
          <w:color w:val="3A3A3A"/>
          <w:shd w:val="clear" w:color="auto" w:fill="FFFFFF"/>
        </w:rPr>
      </w:pPr>
      <w:r w:rsidRPr="008948DD">
        <w:rPr>
          <w:rFonts w:ascii="Times New Roman" w:hAnsi="Times New Roman" w:cs="Times New Roman"/>
          <w:color w:val="3A3A3A"/>
          <w:shd w:val="clear" w:color="auto" w:fill="FFFFFF"/>
        </w:rPr>
        <w:t>Guðmundsdóttir, Arnfríður. “Joan as Jesus: A Feminist Theological Analysis of Dreyer’s The Passion of Joan of Arc.”</w:t>
      </w:r>
      <w:r w:rsidRPr="008948DD">
        <w:rPr>
          <w:rStyle w:val="apple-converted-space"/>
          <w:rFonts w:ascii="Times New Roman" w:hAnsi="Times New Roman" w:cs="Times New Roman"/>
          <w:color w:val="3A3A3A"/>
          <w:shd w:val="clear" w:color="auto" w:fill="FFFFFF"/>
        </w:rPr>
        <w:t> </w:t>
      </w:r>
      <w:r w:rsidRPr="008948DD">
        <w:rPr>
          <w:rFonts w:ascii="Times New Roman" w:hAnsi="Times New Roman" w:cs="Times New Roman"/>
          <w:i/>
          <w:iCs/>
          <w:color w:val="3A3A3A"/>
        </w:rPr>
        <w:t>Dialog: A Journal of Theology</w:t>
      </w:r>
      <w:r w:rsidRPr="008948DD">
        <w:rPr>
          <w:rFonts w:ascii="Times New Roman" w:hAnsi="Times New Roman" w:cs="Times New Roman"/>
          <w:color w:val="3A3A3A"/>
          <w:shd w:val="clear" w:color="auto" w:fill="FFFFFF"/>
        </w:rPr>
        <w:t>, vol. 55, no. 4, 2016, pp. 372–78</w:t>
      </w:r>
      <w:r>
        <w:rPr>
          <w:rFonts w:ascii="Times New Roman" w:hAnsi="Times New Roman" w:cs="Times New Roman"/>
          <w:color w:val="3A3A3A"/>
          <w:shd w:val="clear" w:color="auto" w:fill="FFFFFF"/>
        </w:rPr>
        <w:t xml:space="preserve">. </w:t>
      </w:r>
      <w:r>
        <w:rPr>
          <w:rFonts w:ascii="Times New Roman" w:hAnsi="Times New Roman" w:cs="Times New Roman"/>
          <w:i/>
          <w:iCs/>
          <w:color w:val="3A3A3A"/>
          <w:shd w:val="clear" w:color="auto" w:fill="FFFFFF"/>
        </w:rPr>
        <w:t>Wiley Online Library</w:t>
      </w:r>
      <w:r>
        <w:rPr>
          <w:rFonts w:ascii="Times New Roman" w:hAnsi="Times New Roman" w:cs="Times New Roman"/>
          <w:color w:val="3A3A3A"/>
          <w:shd w:val="clear" w:color="auto" w:fill="FFFFFF"/>
        </w:rPr>
        <w:t>,</w:t>
      </w:r>
      <w:r w:rsidRPr="008948DD">
        <w:rPr>
          <w:rFonts w:ascii="Times New Roman" w:hAnsi="Times New Roman" w:cs="Times New Roman"/>
          <w:color w:val="3A3A3A"/>
          <w:shd w:val="clear" w:color="auto" w:fill="FFFFFF"/>
        </w:rPr>
        <w:t xml:space="preserve"> </w:t>
      </w:r>
      <w:hyperlink r:id="rId6" w:history="1">
        <w:r w:rsidRPr="00B672F4">
          <w:rPr>
            <w:rStyle w:val="Hyperlink"/>
            <w:rFonts w:ascii="Times New Roman" w:hAnsi="Times New Roman" w:cs="Times New Roman"/>
            <w:shd w:val="clear" w:color="auto" w:fill="FFFFFF"/>
          </w:rPr>
          <w:t>https://doi.org/10.1111/dial.12283</w:t>
        </w:r>
      </w:hyperlink>
      <w:r w:rsidRPr="008948DD">
        <w:rPr>
          <w:rFonts w:ascii="Times New Roman" w:hAnsi="Times New Roman" w:cs="Times New Roman"/>
          <w:color w:val="3A3A3A"/>
          <w:shd w:val="clear" w:color="auto" w:fill="FFFFFF"/>
        </w:rPr>
        <w:t>.</w:t>
      </w:r>
    </w:p>
    <w:p w14:paraId="35644390" w14:textId="0517089E" w:rsidR="001B01B8" w:rsidRPr="001B01B8" w:rsidRDefault="001B01B8" w:rsidP="00341564">
      <w:pPr>
        <w:spacing w:line="480" w:lineRule="auto"/>
        <w:ind w:left="720" w:hanging="720"/>
        <w:rPr>
          <w:rFonts w:ascii="Times New Roman" w:hAnsi="Times New Roman" w:cs="Times New Roman"/>
          <w:color w:val="3A3A3A"/>
          <w:shd w:val="clear" w:color="auto" w:fill="FFFFFF"/>
        </w:rPr>
      </w:pPr>
      <w:r>
        <w:rPr>
          <w:rFonts w:ascii="Times New Roman" w:hAnsi="Times New Roman" w:cs="Times New Roman"/>
          <w:color w:val="3A3A3A"/>
          <w:shd w:val="clear" w:color="auto" w:fill="FFFFFF"/>
        </w:rPr>
        <w:t xml:space="preserve">“Henry VI, Part 2.” </w:t>
      </w:r>
      <w:r>
        <w:rPr>
          <w:rFonts w:ascii="Times New Roman" w:hAnsi="Times New Roman" w:cs="Times New Roman"/>
          <w:i/>
          <w:iCs/>
          <w:color w:val="3A3A3A"/>
          <w:shd w:val="clear" w:color="auto" w:fill="FFFFFF"/>
        </w:rPr>
        <w:t>The Hollow Crown</w:t>
      </w:r>
      <w:r>
        <w:rPr>
          <w:rFonts w:ascii="Times New Roman" w:hAnsi="Times New Roman" w:cs="Times New Roman"/>
          <w:color w:val="3A3A3A"/>
          <w:shd w:val="clear" w:color="auto" w:fill="FFFFFF"/>
        </w:rPr>
        <w:t xml:space="preserve">, directed by Dominic Cooke, season 2, episode 2, </w:t>
      </w:r>
      <w:r>
        <w:rPr>
          <w:rFonts w:ascii="Times New Roman" w:hAnsi="Times New Roman" w:cs="Times New Roman"/>
          <w:i/>
          <w:iCs/>
          <w:color w:val="3A3A3A"/>
          <w:shd w:val="clear" w:color="auto" w:fill="FFFFFF"/>
        </w:rPr>
        <w:t>BBC</w:t>
      </w:r>
      <w:r>
        <w:rPr>
          <w:rFonts w:ascii="Times New Roman" w:hAnsi="Times New Roman" w:cs="Times New Roman"/>
          <w:color w:val="3A3A3A"/>
          <w:shd w:val="clear" w:color="auto" w:fill="FFFFFF"/>
        </w:rPr>
        <w:t xml:space="preserve">, May 2016. </w:t>
      </w:r>
      <w:r>
        <w:rPr>
          <w:rFonts w:ascii="Times New Roman" w:hAnsi="Times New Roman" w:cs="Times New Roman"/>
          <w:i/>
          <w:iCs/>
          <w:color w:val="3A3A3A"/>
          <w:shd w:val="clear" w:color="auto" w:fill="FFFFFF"/>
        </w:rPr>
        <w:t>Apple TV</w:t>
      </w:r>
      <w:r>
        <w:rPr>
          <w:rFonts w:ascii="Times New Roman" w:hAnsi="Times New Roman" w:cs="Times New Roman"/>
          <w:color w:val="3A3A3A"/>
          <w:shd w:val="clear" w:color="auto" w:fill="FFFFFF"/>
        </w:rPr>
        <w:t xml:space="preserve">. </w:t>
      </w:r>
    </w:p>
    <w:p w14:paraId="7E470794" w14:textId="77777777" w:rsidR="00341564" w:rsidRDefault="00341564" w:rsidP="00341564">
      <w:pPr>
        <w:spacing w:line="480" w:lineRule="auto"/>
        <w:ind w:left="720" w:hanging="720"/>
        <w:rPr>
          <w:rFonts w:ascii="Times New Roman" w:hAnsi="Times New Roman" w:cs="Times New Roman"/>
          <w:color w:val="000000" w:themeColor="text1"/>
          <w:shd w:val="clear" w:color="auto" w:fill="FFFFFF"/>
        </w:rPr>
      </w:pPr>
      <w:r w:rsidRPr="009420F5">
        <w:rPr>
          <w:rFonts w:ascii="Times New Roman" w:hAnsi="Times New Roman" w:cs="Times New Roman"/>
          <w:color w:val="000000" w:themeColor="text1"/>
          <w:shd w:val="clear" w:color="auto" w:fill="FFFFFF"/>
        </w:rPr>
        <w:t>Lee, Patricia-Ann. “Reflections of Power: Margaret of Anjou and the Dark Side of Queenship.”</w:t>
      </w:r>
      <w:r w:rsidRPr="009420F5">
        <w:rPr>
          <w:rStyle w:val="apple-converted-space"/>
          <w:rFonts w:ascii="Times New Roman" w:hAnsi="Times New Roman" w:cs="Times New Roman"/>
          <w:color w:val="000000" w:themeColor="text1"/>
          <w:shd w:val="clear" w:color="auto" w:fill="FFFFFF"/>
        </w:rPr>
        <w:t> </w:t>
      </w:r>
      <w:r w:rsidRPr="009420F5">
        <w:rPr>
          <w:rFonts w:ascii="Times New Roman" w:hAnsi="Times New Roman" w:cs="Times New Roman"/>
          <w:i/>
          <w:iCs/>
          <w:color w:val="000000" w:themeColor="text1"/>
        </w:rPr>
        <w:t>Renaissance Quarterly</w:t>
      </w:r>
      <w:r w:rsidRPr="009420F5">
        <w:rPr>
          <w:rFonts w:ascii="Times New Roman" w:hAnsi="Times New Roman" w:cs="Times New Roman"/>
          <w:color w:val="000000" w:themeColor="text1"/>
          <w:shd w:val="clear" w:color="auto" w:fill="FFFFFF"/>
        </w:rPr>
        <w:t>, vol. 39, no. 2, 1986, pp. 183–217</w:t>
      </w:r>
      <w:r>
        <w:rPr>
          <w:rFonts w:ascii="Times New Roman" w:hAnsi="Times New Roman" w:cs="Times New Roman"/>
          <w:color w:val="000000" w:themeColor="text1"/>
          <w:shd w:val="clear" w:color="auto" w:fill="FFFFFF"/>
        </w:rPr>
        <w:t xml:space="preserve">. </w:t>
      </w:r>
      <w:r>
        <w:rPr>
          <w:rFonts w:ascii="Times New Roman" w:hAnsi="Times New Roman" w:cs="Times New Roman"/>
          <w:i/>
          <w:iCs/>
          <w:color w:val="000000" w:themeColor="text1"/>
          <w:shd w:val="clear" w:color="auto" w:fill="FFFFFF"/>
        </w:rPr>
        <w:t>Cambridge UP</w:t>
      </w:r>
      <w:r>
        <w:rPr>
          <w:rFonts w:ascii="Times New Roman" w:hAnsi="Times New Roman" w:cs="Times New Roman"/>
          <w:color w:val="000000" w:themeColor="text1"/>
          <w:shd w:val="clear" w:color="auto" w:fill="FFFFFF"/>
        </w:rPr>
        <w:t xml:space="preserve">, </w:t>
      </w:r>
      <w:hyperlink r:id="rId7" w:history="1">
        <w:r w:rsidRPr="00B672F4">
          <w:rPr>
            <w:rStyle w:val="Hyperlink"/>
            <w:rFonts w:ascii="Times New Roman" w:hAnsi="Times New Roman" w:cs="Times New Roman"/>
            <w:shd w:val="clear" w:color="auto" w:fill="FFFFFF"/>
          </w:rPr>
          <w:t>https://doi.org/10.2307/2862114</w:t>
        </w:r>
      </w:hyperlink>
      <w:r w:rsidRPr="009420F5">
        <w:rPr>
          <w:rFonts w:ascii="Times New Roman" w:hAnsi="Times New Roman" w:cs="Times New Roman"/>
          <w:color w:val="000000" w:themeColor="text1"/>
          <w:shd w:val="clear" w:color="auto" w:fill="FFFFFF"/>
        </w:rPr>
        <w:t>.</w:t>
      </w:r>
    </w:p>
    <w:p w14:paraId="0B666DC7" w14:textId="77777777" w:rsidR="00341564" w:rsidRDefault="00341564" w:rsidP="00341564">
      <w:pPr>
        <w:spacing w:line="480" w:lineRule="auto"/>
        <w:ind w:left="720" w:hanging="720"/>
        <w:rPr>
          <w:rFonts w:ascii="Times New Roman" w:hAnsi="Times New Roman" w:cs="Times New Roman"/>
          <w:color w:val="000000" w:themeColor="text1"/>
          <w:shd w:val="clear" w:color="auto" w:fill="FFFFFF"/>
        </w:rPr>
      </w:pPr>
      <w:r w:rsidRPr="005F2DC8">
        <w:rPr>
          <w:rFonts w:ascii="Times New Roman" w:hAnsi="Times New Roman" w:cs="Times New Roman"/>
          <w:color w:val="000000" w:themeColor="text1"/>
          <w:shd w:val="clear" w:color="auto" w:fill="FFFFFF"/>
        </w:rPr>
        <w:t>Meltzer, Françoise. “Reviving the Fairy Tree: Tales of European Sanctity.”</w:t>
      </w:r>
      <w:r w:rsidRPr="005F2DC8">
        <w:rPr>
          <w:rStyle w:val="apple-converted-space"/>
          <w:rFonts w:ascii="Times New Roman" w:hAnsi="Times New Roman" w:cs="Times New Roman"/>
          <w:color w:val="000000" w:themeColor="text1"/>
          <w:shd w:val="clear" w:color="auto" w:fill="FFFFFF"/>
        </w:rPr>
        <w:t> </w:t>
      </w:r>
      <w:r w:rsidRPr="005F2DC8">
        <w:rPr>
          <w:rFonts w:ascii="Times New Roman" w:hAnsi="Times New Roman" w:cs="Times New Roman"/>
          <w:i/>
          <w:iCs/>
          <w:color w:val="000000" w:themeColor="text1"/>
        </w:rPr>
        <w:t>Critical Inquiry</w:t>
      </w:r>
      <w:r w:rsidRPr="005F2DC8">
        <w:rPr>
          <w:rFonts w:ascii="Times New Roman" w:hAnsi="Times New Roman" w:cs="Times New Roman"/>
          <w:color w:val="000000" w:themeColor="text1"/>
          <w:shd w:val="clear" w:color="auto" w:fill="FFFFFF"/>
        </w:rPr>
        <w:t xml:space="preserve">, vol. 35, no. 3, 2009, pp. 493–520. </w:t>
      </w:r>
      <w:r w:rsidRPr="005F2DC8">
        <w:rPr>
          <w:rFonts w:ascii="Times New Roman" w:hAnsi="Times New Roman" w:cs="Times New Roman"/>
          <w:i/>
          <w:iCs/>
          <w:color w:val="000000" w:themeColor="text1"/>
          <w:shd w:val="clear" w:color="auto" w:fill="FFFFFF"/>
        </w:rPr>
        <w:t>JSTOR</w:t>
      </w:r>
      <w:r w:rsidRPr="005F2DC8">
        <w:rPr>
          <w:rFonts w:ascii="Times New Roman" w:hAnsi="Times New Roman" w:cs="Times New Roman"/>
          <w:color w:val="000000" w:themeColor="text1"/>
          <w:shd w:val="clear" w:color="auto" w:fill="FFFFFF"/>
        </w:rPr>
        <w:t xml:space="preserve">, </w:t>
      </w:r>
      <w:hyperlink r:id="rId8" w:history="1">
        <w:r w:rsidRPr="00B672F4">
          <w:rPr>
            <w:rStyle w:val="Hyperlink"/>
            <w:rFonts w:ascii="Times New Roman" w:hAnsi="Times New Roman" w:cs="Times New Roman"/>
            <w:shd w:val="clear" w:color="auto" w:fill="FFFFFF"/>
          </w:rPr>
          <w:t>https://doi.org/10.1086/598812</w:t>
        </w:r>
      </w:hyperlink>
      <w:r w:rsidRPr="005F2DC8">
        <w:rPr>
          <w:rFonts w:ascii="Times New Roman" w:hAnsi="Times New Roman" w:cs="Times New Roman"/>
          <w:color w:val="000000" w:themeColor="text1"/>
          <w:shd w:val="clear" w:color="auto" w:fill="FFFFFF"/>
        </w:rPr>
        <w:t>.</w:t>
      </w:r>
    </w:p>
    <w:p w14:paraId="05C4182E" w14:textId="77777777" w:rsidR="00341564" w:rsidRDefault="00341564" w:rsidP="00341564">
      <w:pPr>
        <w:spacing w:line="480" w:lineRule="auto"/>
        <w:ind w:left="720" w:hanging="720"/>
        <w:rPr>
          <w:rFonts w:ascii="Times New Roman" w:hAnsi="Times New Roman" w:cs="Times New Roman"/>
          <w:color w:val="000000" w:themeColor="text1"/>
          <w:shd w:val="clear" w:color="auto" w:fill="FFFFFF"/>
        </w:rPr>
      </w:pPr>
      <w:r w:rsidRPr="00FE3557">
        <w:rPr>
          <w:rFonts w:ascii="Times New Roman" w:hAnsi="Times New Roman" w:cs="Times New Roman"/>
          <w:color w:val="000000" w:themeColor="text1"/>
          <w:shd w:val="clear" w:color="auto" w:fill="FFFFFF"/>
        </w:rPr>
        <w:t xml:space="preserve">Mendoza, Kirsten N. </w:t>
      </w:r>
      <w:r>
        <w:rPr>
          <w:rFonts w:ascii="Times New Roman" w:hAnsi="Times New Roman" w:cs="Times New Roman"/>
          <w:color w:val="000000" w:themeColor="text1"/>
          <w:shd w:val="clear" w:color="auto" w:fill="FFFFFF"/>
        </w:rPr>
        <w:t>“‘</w:t>
      </w:r>
      <w:r w:rsidRPr="00FE3557">
        <w:rPr>
          <w:rFonts w:ascii="Times New Roman" w:hAnsi="Times New Roman" w:cs="Times New Roman"/>
          <w:color w:val="000000" w:themeColor="text1"/>
          <w:shd w:val="clear" w:color="auto" w:fill="FFFFFF"/>
        </w:rPr>
        <w:t>I Am Content’: Race, Seduction, and Performances of Consent in The Hollow Crown.”</w:t>
      </w:r>
      <w:r w:rsidRPr="00FE3557">
        <w:rPr>
          <w:rStyle w:val="apple-converted-space"/>
          <w:rFonts w:ascii="Times New Roman" w:hAnsi="Times New Roman" w:cs="Times New Roman"/>
          <w:color w:val="000000" w:themeColor="text1"/>
          <w:shd w:val="clear" w:color="auto" w:fill="FFFFFF"/>
        </w:rPr>
        <w:t> </w:t>
      </w:r>
      <w:r w:rsidRPr="00FE3557">
        <w:rPr>
          <w:rFonts w:ascii="Times New Roman" w:hAnsi="Times New Roman" w:cs="Times New Roman"/>
          <w:i/>
          <w:iCs/>
          <w:color w:val="000000" w:themeColor="text1"/>
        </w:rPr>
        <w:t>Shakespeare Bulletin</w:t>
      </w:r>
      <w:r w:rsidRPr="00FE3557">
        <w:rPr>
          <w:rFonts w:ascii="Times New Roman" w:hAnsi="Times New Roman" w:cs="Times New Roman"/>
          <w:color w:val="000000" w:themeColor="text1"/>
          <w:shd w:val="clear" w:color="auto" w:fill="FFFFFF"/>
        </w:rPr>
        <w:t>, vol. 39, no. 4, 2021, pp. 617–35</w:t>
      </w:r>
      <w:r>
        <w:rPr>
          <w:rFonts w:ascii="Times New Roman" w:hAnsi="Times New Roman" w:cs="Times New Roman"/>
          <w:color w:val="000000" w:themeColor="text1"/>
          <w:shd w:val="clear" w:color="auto" w:fill="FFFFFF"/>
        </w:rPr>
        <w:t xml:space="preserve">. </w:t>
      </w:r>
      <w:r>
        <w:rPr>
          <w:rFonts w:ascii="Times New Roman" w:hAnsi="Times New Roman" w:cs="Times New Roman"/>
          <w:i/>
          <w:iCs/>
          <w:color w:val="000000" w:themeColor="text1"/>
          <w:shd w:val="clear" w:color="auto" w:fill="FFFFFF"/>
        </w:rPr>
        <w:t>Project Muse</w:t>
      </w:r>
      <w:r>
        <w:rPr>
          <w:rFonts w:ascii="Times New Roman" w:hAnsi="Times New Roman" w:cs="Times New Roman"/>
          <w:color w:val="000000" w:themeColor="text1"/>
          <w:shd w:val="clear" w:color="auto" w:fill="FFFFFF"/>
        </w:rPr>
        <w:t xml:space="preserve">, </w:t>
      </w:r>
      <w:hyperlink r:id="rId9" w:history="1">
        <w:r w:rsidRPr="00B672F4">
          <w:rPr>
            <w:rStyle w:val="Hyperlink"/>
            <w:rFonts w:ascii="Times New Roman" w:hAnsi="Times New Roman" w:cs="Times New Roman"/>
            <w:shd w:val="clear" w:color="auto" w:fill="FFFFFF"/>
          </w:rPr>
          <w:t>https://doi.org/10.1353/shb.2021.0060</w:t>
        </w:r>
      </w:hyperlink>
      <w:r w:rsidRPr="00FE3557">
        <w:rPr>
          <w:rFonts w:ascii="Times New Roman" w:hAnsi="Times New Roman" w:cs="Times New Roman"/>
          <w:color w:val="000000" w:themeColor="text1"/>
          <w:shd w:val="clear" w:color="auto" w:fill="FFFFFF"/>
        </w:rPr>
        <w:t>.</w:t>
      </w:r>
    </w:p>
    <w:p w14:paraId="00AEF6A5" w14:textId="54CEEA27" w:rsidR="0076526B" w:rsidRPr="0076526B" w:rsidRDefault="0076526B" w:rsidP="0076526B">
      <w:pPr>
        <w:pStyle w:val="NormalWeb"/>
        <w:spacing w:line="480" w:lineRule="auto"/>
        <w:ind w:left="567" w:hanging="567"/>
        <w:rPr>
          <w:color w:val="000000"/>
        </w:rPr>
      </w:pPr>
      <w:r>
        <w:rPr>
          <w:color w:val="000000"/>
        </w:rPr>
        <w:t>Shakespeare, William.</w:t>
      </w:r>
      <w:r>
        <w:rPr>
          <w:rStyle w:val="apple-converted-space"/>
          <w:rFonts w:eastAsiaTheme="majorEastAsia"/>
          <w:color w:val="000000"/>
        </w:rPr>
        <w:t> </w:t>
      </w:r>
      <w:r>
        <w:rPr>
          <w:i/>
          <w:iCs/>
          <w:color w:val="000000"/>
        </w:rPr>
        <w:t>Henry VI, Parts I, II and III</w:t>
      </w:r>
      <w:r>
        <w:rPr>
          <w:color w:val="000000"/>
        </w:rPr>
        <w:t>. Edited by Jonathan Bate and Eric Rasmussen, Modern Library, 2012.</w:t>
      </w:r>
      <w:r>
        <w:rPr>
          <w:rStyle w:val="apple-converted-space"/>
          <w:rFonts w:eastAsiaTheme="majorEastAsia"/>
          <w:color w:val="000000"/>
        </w:rPr>
        <w:t> </w:t>
      </w:r>
    </w:p>
    <w:p w14:paraId="47B122AD" w14:textId="77777777" w:rsidR="00341564" w:rsidRPr="008F068C" w:rsidRDefault="00341564" w:rsidP="00341564">
      <w:pPr>
        <w:spacing w:line="480" w:lineRule="auto"/>
        <w:ind w:left="720" w:hanging="720"/>
        <w:rPr>
          <w:rFonts w:ascii="Times New Roman" w:hAnsi="Times New Roman" w:cs="Times New Roman"/>
          <w:color w:val="000000" w:themeColor="text1"/>
          <w:shd w:val="clear" w:color="auto" w:fill="FFFFFF"/>
        </w:rPr>
      </w:pPr>
      <w:r w:rsidRPr="008F068C">
        <w:rPr>
          <w:rFonts w:ascii="Times New Roman" w:hAnsi="Times New Roman" w:cs="Times New Roman"/>
          <w:color w:val="000000" w:themeColor="text1"/>
          <w:shd w:val="clear" w:color="auto" w:fill="FFFFFF"/>
        </w:rPr>
        <w:t>Warren, Nancy Bradley. “French Women and English Men: Joan of Arc, Margaret of Anjou, and Christine de Pizan in England, 1445-1540.”</w:t>
      </w:r>
      <w:r w:rsidRPr="008F068C">
        <w:rPr>
          <w:rStyle w:val="apple-converted-space"/>
          <w:rFonts w:ascii="Times New Roman" w:hAnsi="Times New Roman" w:cs="Times New Roman"/>
          <w:color w:val="000000" w:themeColor="text1"/>
          <w:shd w:val="clear" w:color="auto" w:fill="FFFFFF"/>
        </w:rPr>
        <w:t> </w:t>
      </w:r>
      <w:proofErr w:type="spellStart"/>
      <w:r w:rsidRPr="008F068C">
        <w:rPr>
          <w:rFonts w:ascii="Times New Roman" w:hAnsi="Times New Roman" w:cs="Times New Roman"/>
          <w:i/>
          <w:iCs/>
          <w:color w:val="000000" w:themeColor="text1"/>
        </w:rPr>
        <w:t>Exemplaria</w:t>
      </w:r>
      <w:proofErr w:type="spellEnd"/>
      <w:r>
        <w:rPr>
          <w:rFonts w:ascii="Times New Roman" w:hAnsi="Times New Roman" w:cs="Times New Roman"/>
          <w:i/>
          <w:iCs/>
          <w:color w:val="000000" w:themeColor="text1"/>
        </w:rPr>
        <w:t xml:space="preserve">, </w:t>
      </w:r>
      <w:r w:rsidRPr="008F068C">
        <w:rPr>
          <w:rFonts w:ascii="Times New Roman" w:hAnsi="Times New Roman" w:cs="Times New Roman"/>
          <w:color w:val="000000" w:themeColor="text1"/>
          <w:shd w:val="clear" w:color="auto" w:fill="FFFFFF"/>
        </w:rPr>
        <w:t>vol. 16, no. 2, 2004, pp. 405–36</w:t>
      </w:r>
      <w:r>
        <w:rPr>
          <w:rFonts w:ascii="Times New Roman" w:hAnsi="Times New Roman" w:cs="Times New Roman"/>
          <w:color w:val="000000" w:themeColor="text1"/>
          <w:shd w:val="clear" w:color="auto" w:fill="FFFFFF"/>
        </w:rPr>
        <w:t xml:space="preserve">. </w:t>
      </w:r>
      <w:r w:rsidRPr="008F068C">
        <w:rPr>
          <w:rFonts w:ascii="Times New Roman" w:hAnsi="Times New Roman" w:cs="Times New Roman"/>
          <w:i/>
          <w:iCs/>
          <w:color w:val="000000" w:themeColor="text1"/>
          <w:shd w:val="clear" w:color="auto" w:fill="FFFFFF"/>
        </w:rPr>
        <w:t>Taylor &amp; Francis Online</w:t>
      </w:r>
      <w:r>
        <w:rPr>
          <w:rFonts w:ascii="Times New Roman" w:hAnsi="Times New Roman" w:cs="Times New Roman"/>
          <w:color w:val="000000" w:themeColor="text1"/>
          <w:shd w:val="clear" w:color="auto" w:fill="FFFFFF"/>
        </w:rPr>
        <w:t xml:space="preserve">, </w:t>
      </w:r>
      <w:r w:rsidRPr="008F068C">
        <w:rPr>
          <w:rFonts w:ascii="Times New Roman" w:hAnsi="Times New Roman" w:cs="Times New Roman"/>
          <w:color w:val="000000" w:themeColor="text1"/>
          <w:shd w:val="clear" w:color="auto" w:fill="FFFFFF"/>
        </w:rPr>
        <w:t>https://doi.org/10.1179/exm.2004.16.2.405.</w:t>
      </w:r>
    </w:p>
    <w:p w14:paraId="0EB5C9E4" w14:textId="77777777" w:rsidR="00341564" w:rsidRPr="00341564" w:rsidRDefault="00341564" w:rsidP="00341564">
      <w:pPr>
        <w:spacing w:after="0" w:line="480" w:lineRule="auto"/>
        <w:rPr>
          <w:rFonts w:ascii="Times New Roman" w:hAnsi="Times New Roman" w:cs="Times New Roman"/>
        </w:rPr>
      </w:pPr>
    </w:p>
    <w:sectPr w:rsidR="00341564" w:rsidRPr="00341564">
      <w:headerReference w:type="even" r:id="rId10"/>
      <w:head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B06F2" w14:textId="77777777" w:rsidR="002429F6" w:rsidRDefault="002429F6" w:rsidP="00FA5C99">
      <w:pPr>
        <w:spacing w:after="0" w:line="240" w:lineRule="auto"/>
      </w:pPr>
      <w:r>
        <w:separator/>
      </w:r>
    </w:p>
  </w:endnote>
  <w:endnote w:type="continuationSeparator" w:id="0">
    <w:p w14:paraId="7125AAD3" w14:textId="77777777" w:rsidR="002429F6" w:rsidRDefault="002429F6" w:rsidP="00FA5C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B15C9" w14:textId="77777777" w:rsidR="002429F6" w:rsidRDefault="002429F6" w:rsidP="00FA5C99">
      <w:pPr>
        <w:spacing w:after="0" w:line="240" w:lineRule="auto"/>
      </w:pPr>
      <w:r>
        <w:separator/>
      </w:r>
    </w:p>
  </w:footnote>
  <w:footnote w:type="continuationSeparator" w:id="0">
    <w:p w14:paraId="3E4EAB36" w14:textId="77777777" w:rsidR="002429F6" w:rsidRDefault="002429F6" w:rsidP="00FA5C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23554795"/>
      <w:docPartObj>
        <w:docPartGallery w:val="Page Numbers (Top of Page)"/>
        <w:docPartUnique/>
      </w:docPartObj>
    </w:sdtPr>
    <w:sdtContent>
      <w:p w14:paraId="6FC3DD0C" w14:textId="5CD3887A" w:rsidR="00FA5C99" w:rsidRDefault="00FA5C99" w:rsidP="00217F3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DC66B3" w14:textId="77777777" w:rsidR="00FA5C99" w:rsidRDefault="00FA5C99" w:rsidP="00FA5C9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463613659"/>
      <w:docPartObj>
        <w:docPartGallery w:val="Page Numbers (Top of Page)"/>
        <w:docPartUnique/>
      </w:docPartObj>
    </w:sdtPr>
    <w:sdtContent>
      <w:p w14:paraId="05D70311" w14:textId="59E39FCB" w:rsidR="00FA5C99" w:rsidRPr="00FA5C99" w:rsidRDefault="00FA5C99" w:rsidP="00217F36">
        <w:pPr>
          <w:pStyle w:val="Header"/>
          <w:framePr w:wrap="none" w:vAnchor="text" w:hAnchor="margin" w:xAlign="right" w:y="1"/>
          <w:rPr>
            <w:rStyle w:val="PageNumber"/>
            <w:rFonts w:ascii="Times New Roman" w:hAnsi="Times New Roman" w:cs="Times New Roman"/>
          </w:rPr>
        </w:pPr>
        <w:r w:rsidRPr="00FA5C99">
          <w:rPr>
            <w:rStyle w:val="PageNumber"/>
            <w:rFonts w:ascii="Times New Roman" w:hAnsi="Times New Roman" w:cs="Times New Roman"/>
          </w:rPr>
          <w:fldChar w:fldCharType="begin"/>
        </w:r>
        <w:r w:rsidRPr="00FA5C99">
          <w:rPr>
            <w:rStyle w:val="PageNumber"/>
            <w:rFonts w:ascii="Times New Roman" w:hAnsi="Times New Roman" w:cs="Times New Roman"/>
          </w:rPr>
          <w:instrText xml:space="preserve"> PAGE </w:instrText>
        </w:r>
        <w:r w:rsidRPr="00FA5C99">
          <w:rPr>
            <w:rStyle w:val="PageNumber"/>
            <w:rFonts w:ascii="Times New Roman" w:hAnsi="Times New Roman" w:cs="Times New Roman"/>
          </w:rPr>
          <w:fldChar w:fldCharType="separate"/>
        </w:r>
        <w:r w:rsidRPr="00FA5C99">
          <w:rPr>
            <w:rStyle w:val="PageNumber"/>
            <w:rFonts w:ascii="Times New Roman" w:hAnsi="Times New Roman" w:cs="Times New Roman"/>
            <w:noProof/>
          </w:rPr>
          <w:t>1</w:t>
        </w:r>
        <w:r w:rsidRPr="00FA5C99">
          <w:rPr>
            <w:rStyle w:val="PageNumber"/>
            <w:rFonts w:ascii="Times New Roman" w:hAnsi="Times New Roman" w:cs="Times New Roman"/>
          </w:rPr>
          <w:fldChar w:fldCharType="end"/>
        </w:r>
      </w:p>
    </w:sdtContent>
  </w:sdt>
  <w:p w14:paraId="50083149" w14:textId="1AE21B20" w:rsidR="00FA5C99" w:rsidRPr="00FA5C99" w:rsidRDefault="00FA5C99" w:rsidP="00FA5C99">
    <w:pPr>
      <w:pStyle w:val="Header"/>
      <w:ind w:right="360"/>
      <w:jc w:val="right"/>
      <w:rPr>
        <w:rFonts w:ascii="Times New Roman" w:hAnsi="Times New Roman" w:cs="Times New Roman"/>
      </w:rPr>
    </w:pPr>
    <w:r>
      <w:rPr>
        <w:rFonts w:ascii="Times New Roman" w:hAnsi="Times New Roman" w:cs="Times New Roman"/>
      </w:rPr>
      <w:t>Luzentales-Simpson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C99"/>
    <w:rsid w:val="0006425F"/>
    <w:rsid w:val="000A3B7D"/>
    <w:rsid w:val="000A5E4B"/>
    <w:rsid w:val="000F7D91"/>
    <w:rsid w:val="00100815"/>
    <w:rsid w:val="001073B4"/>
    <w:rsid w:val="001130EB"/>
    <w:rsid w:val="00133CE9"/>
    <w:rsid w:val="00146B98"/>
    <w:rsid w:val="001615DA"/>
    <w:rsid w:val="00164744"/>
    <w:rsid w:val="001B01B8"/>
    <w:rsid w:val="001E3BCD"/>
    <w:rsid w:val="001E4158"/>
    <w:rsid w:val="00200529"/>
    <w:rsid w:val="00200FDC"/>
    <w:rsid w:val="0023501C"/>
    <w:rsid w:val="002429F6"/>
    <w:rsid w:val="00276F4E"/>
    <w:rsid w:val="002A6306"/>
    <w:rsid w:val="002B56BD"/>
    <w:rsid w:val="002D41FE"/>
    <w:rsid w:val="002E7C5B"/>
    <w:rsid w:val="00341564"/>
    <w:rsid w:val="003654D3"/>
    <w:rsid w:val="003A64F1"/>
    <w:rsid w:val="003C239B"/>
    <w:rsid w:val="003D0CE0"/>
    <w:rsid w:val="003D4495"/>
    <w:rsid w:val="003E42C7"/>
    <w:rsid w:val="003E5E22"/>
    <w:rsid w:val="003F6203"/>
    <w:rsid w:val="00444160"/>
    <w:rsid w:val="00467FCE"/>
    <w:rsid w:val="00493371"/>
    <w:rsid w:val="004E788C"/>
    <w:rsid w:val="00543704"/>
    <w:rsid w:val="00560DBD"/>
    <w:rsid w:val="005767FB"/>
    <w:rsid w:val="005E4C07"/>
    <w:rsid w:val="005F1602"/>
    <w:rsid w:val="0063637F"/>
    <w:rsid w:val="006427EF"/>
    <w:rsid w:val="00650B97"/>
    <w:rsid w:val="0067415E"/>
    <w:rsid w:val="00680CEA"/>
    <w:rsid w:val="006C1D9E"/>
    <w:rsid w:val="00717D55"/>
    <w:rsid w:val="0074392E"/>
    <w:rsid w:val="0074479D"/>
    <w:rsid w:val="0076168C"/>
    <w:rsid w:val="007630D2"/>
    <w:rsid w:val="0076526B"/>
    <w:rsid w:val="007A7615"/>
    <w:rsid w:val="007B05BC"/>
    <w:rsid w:val="007B7AB1"/>
    <w:rsid w:val="007C2DC6"/>
    <w:rsid w:val="007D0659"/>
    <w:rsid w:val="007D5878"/>
    <w:rsid w:val="007D75B1"/>
    <w:rsid w:val="00871CEA"/>
    <w:rsid w:val="008818DA"/>
    <w:rsid w:val="008901A8"/>
    <w:rsid w:val="008A5C0F"/>
    <w:rsid w:val="008B48BD"/>
    <w:rsid w:val="008E02AB"/>
    <w:rsid w:val="008E0397"/>
    <w:rsid w:val="008E6F62"/>
    <w:rsid w:val="008F031C"/>
    <w:rsid w:val="0090795A"/>
    <w:rsid w:val="00954BE8"/>
    <w:rsid w:val="00995A79"/>
    <w:rsid w:val="009A17E0"/>
    <w:rsid w:val="009A532E"/>
    <w:rsid w:val="009A753F"/>
    <w:rsid w:val="009F3C40"/>
    <w:rsid w:val="00A2092D"/>
    <w:rsid w:val="00A330B2"/>
    <w:rsid w:val="00A45D27"/>
    <w:rsid w:val="00A829C3"/>
    <w:rsid w:val="00AB6707"/>
    <w:rsid w:val="00AD07EA"/>
    <w:rsid w:val="00AD3A89"/>
    <w:rsid w:val="00AF08F0"/>
    <w:rsid w:val="00AF1C7B"/>
    <w:rsid w:val="00B34475"/>
    <w:rsid w:val="00BA5ABA"/>
    <w:rsid w:val="00BA5F9B"/>
    <w:rsid w:val="00BB0D37"/>
    <w:rsid w:val="00BB13C7"/>
    <w:rsid w:val="00BC3A72"/>
    <w:rsid w:val="00BD4981"/>
    <w:rsid w:val="00C033F2"/>
    <w:rsid w:val="00C10654"/>
    <w:rsid w:val="00C307B6"/>
    <w:rsid w:val="00C338E9"/>
    <w:rsid w:val="00C44F14"/>
    <w:rsid w:val="00C75E81"/>
    <w:rsid w:val="00C832DE"/>
    <w:rsid w:val="00C95C10"/>
    <w:rsid w:val="00CA2048"/>
    <w:rsid w:val="00CD58C2"/>
    <w:rsid w:val="00CE1A34"/>
    <w:rsid w:val="00CE2A94"/>
    <w:rsid w:val="00D17E32"/>
    <w:rsid w:val="00D26B0F"/>
    <w:rsid w:val="00D444E2"/>
    <w:rsid w:val="00D951DD"/>
    <w:rsid w:val="00D96646"/>
    <w:rsid w:val="00DE2F00"/>
    <w:rsid w:val="00DF3E59"/>
    <w:rsid w:val="00DF77C3"/>
    <w:rsid w:val="00E11C2B"/>
    <w:rsid w:val="00E75F68"/>
    <w:rsid w:val="00E77685"/>
    <w:rsid w:val="00E81112"/>
    <w:rsid w:val="00EC3804"/>
    <w:rsid w:val="00F06042"/>
    <w:rsid w:val="00F1136B"/>
    <w:rsid w:val="00F26123"/>
    <w:rsid w:val="00F840A8"/>
    <w:rsid w:val="00F97C93"/>
    <w:rsid w:val="00FA0076"/>
    <w:rsid w:val="00FA5C99"/>
    <w:rsid w:val="00FD1131"/>
    <w:rsid w:val="00FF297C"/>
    <w:rsid w:val="00FF3B3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D65764E"/>
  <w15:chartTrackingRefBased/>
  <w15:docId w15:val="{96260066-9091-F04E-BD8E-DE4D27A89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5C99"/>
  </w:style>
  <w:style w:type="paragraph" w:styleId="Heading1">
    <w:name w:val="heading 1"/>
    <w:basedOn w:val="Normal"/>
    <w:next w:val="Normal"/>
    <w:link w:val="Heading1Char"/>
    <w:uiPriority w:val="9"/>
    <w:qFormat/>
    <w:rsid w:val="00FA5C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5C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5C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5C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5C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5C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5C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5C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5C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5C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5C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5C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5C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5C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5C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5C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5C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5C99"/>
    <w:rPr>
      <w:rFonts w:eastAsiaTheme="majorEastAsia" w:cstheme="majorBidi"/>
      <w:color w:val="272727" w:themeColor="text1" w:themeTint="D8"/>
    </w:rPr>
  </w:style>
  <w:style w:type="paragraph" w:styleId="Title">
    <w:name w:val="Title"/>
    <w:basedOn w:val="Normal"/>
    <w:next w:val="Normal"/>
    <w:link w:val="TitleChar"/>
    <w:uiPriority w:val="10"/>
    <w:qFormat/>
    <w:rsid w:val="00FA5C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5C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5C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5C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5C99"/>
    <w:pPr>
      <w:spacing w:before="160"/>
      <w:jc w:val="center"/>
    </w:pPr>
    <w:rPr>
      <w:i/>
      <w:iCs/>
      <w:color w:val="404040" w:themeColor="text1" w:themeTint="BF"/>
    </w:rPr>
  </w:style>
  <w:style w:type="character" w:customStyle="1" w:styleId="QuoteChar">
    <w:name w:val="Quote Char"/>
    <w:basedOn w:val="DefaultParagraphFont"/>
    <w:link w:val="Quote"/>
    <w:uiPriority w:val="29"/>
    <w:rsid w:val="00FA5C99"/>
    <w:rPr>
      <w:i/>
      <w:iCs/>
      <w:color w:val="404040" w:themeColor="text1" w:themeTint="BF"/>
    </w:rPr>
  </w:style>
  <w:style w:type="paragraph" w:styleId="ListParagraph">
    <w:name w:val="List Paragraph"/>
    <w:basedOn w:val="Normal"/>
    <w:uiPriority w:val="34"/>
    <w:qFormat/>
    <w:rsid w:val="00FA5C99"/>
    <w:pPr>
      <w:ind w:left="720"/>
      <w:contextualSpacing/>
    </w:pPr>
  </w:style>
  <w:style w:type="character" w:styleId="IntenseEmphasis">
    <w:name w:val="Intense Emphasis"/>
    <w:basedOn w:val="DefaultParagraphFont"/>
    <w:uiPriority w:val="21"/>
    <w:qFormat/>
    <w:rsid w:val="00FA5C99"/>
    <w:rPr>
      <w:i/>
      <w:iCs/>
      <w:color w:val="0F4761" w:themeColor="accent1" w:themeShade="BF"/>
    </w:rPr>
  </w:style>
  <w:style w:type="paragraph" w:styleId="IntenseQuote">
    <w:name w:val="Intense Quote"/>
    <w:basedOn w:val="Normal"/>
    <w:next w:val="Normal"/>
    <w:link w:val="IntenseQuoteChar"/>
    <w:uiPriority w:val="30"/>
    <w:qFormat/>
    <w:rsid w:val="00FA5C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5C99"/>
    <w:rPr>
      <w:i/>
      <w:iCs/>
      <w:color w:val="0F4761" w:themeColor="accent1" w:themeShade="BF"/>
    </w:rPr>
  </w:style>
  <w:style w:type="character" w:styleId="IntenseReference">
    <w:name w:val="Intense Reference"/>
    <w:basedOn w:val="DefaultParagraphFont"/>
    <w:uiPriority w:val="32"/>
    <w:qFormat/>
    <w:rsid w:val="00FA5C99"/>
    <w:rPr>
      <w:b/>
      <w:bCs/>
      <w:smallCaps/>
      <w:color w:val="0F4761" w:themeColor="accent1" w:themeShade="BF"/>
      <w:spacing w:val="5"/>
    </w:rPr>
  </w:style>
  <w:style w:type="paragraph" w:styleId="Header">
    <w:name w:val="header"/>
    <w:basedOn w:val="Normal"/>
    <w:link w:val="HeaderChar"/>
    <w:uiPriority w:val="99"/>
    <w:unhideWhenUsed/>
    <w:rsid w:val="00FA5C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5C99"/>
  </w:style>
  <w:style w:type="paragraph" w:styleId="Footer">
    <w:name w:val="footer"/>
    <w:basedOn w:val="Normal"/>
    <w:link w:val="FooterChar"/>
    <w:uiPriority w:val="99"/>
    <w:unhideWhenUsed/>
    <w:rsid w:val="00FA5C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5C99"/>
  </w:style>
  <w:style w:type="character" w:styleId="PageNumber">
    <w:name w:val="page number"/>
    <w:basedOn w:val="DefaultParagraphFont"/>
    <w:uiPriority w:val="99"/>
    <w:semiHidden/>
    <w:unhideWhenUsed/>
    <w:rsid w:val="00FA5C99"/>
  </w:style>
  <w:style w:type="character" w:customStyle="1" w:styleId="apple-converted-space">
    <w:name w:val="apple-converted-space"/>
    <w:basedOn w:val="DefaultParagraphFont"/>
    <w:rsid w:val="00341564"/>
  </w:style>
  <w:style w:type="character" w:styleId="Hyperlink">
    <w:name w:val="Hyperlink"/>
    <w:basedOn w:val="DefaultParagraphFont"/>
    <w:uiPriority w:val="99"/>
    <w:unhideWhenUsed/>
    <w:rsid w:val="00341564"/>
    <w:rPr>
      <w:color w:val="467886" w:themeColor="hyperlink"/>
      <w:u w:val="single"/>
    </w:rPr>
  </w:style>
  <w:style w:type="paragraph" w:styleId="NormalWeb">
    <w:name w:val="Normal (Web)"/>
    <w:basedOn w:val="Normal"/>
    <w:uiPriority w:val="99"/>
    <w:unhideWhenUsed/>
    <w:rsid w:val="0076526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419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6/598812"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oi.org/10.2307/2862114"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11/dial.12283"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doi.org/10.1353/shb.2021.00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274</TotalTime>
  <Pages>11</Pages>
  <Words>3038</Words>
  <Characters>17320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Luzentales-Simpson</dc:creator>
  <cp:keywords/>
  <dc:description/>
  <cp:lastModifiedBy>Sam Simpson</cp:lastModifiedBy>
  <cp:revision>119</cp:revision>
  <dcterms:created xsi:type="dcterms:W3CDTF">2024-03-30T19:07:00Z</dcterms:created>
  <dcterms:modified xsi:type="dcterms:W3CDTF">2025-04-03T18:11:00Z</dcterms:modified>
</cp:coreProperties>
</file>