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DF855" w14:textId="1A18EEDF" w:rsidR="00A94544" w:rsidRDefault="00A94544" w:rsidP="00A94544">
      <w:pPr>
        <w:spacing w:line="480" w:lineRule="auto"/>
        <w:rPr>
          <w:rFonts w:ascii="Times" w:hAnsi="Times"/>
        </w:rPr>
      </w:pPr>
      <w:r>
        <w:rPr>
          <w:rFonts w:ascii="Times" w:hAnsi="Times"/>
        </w:rPr>
        <w:t xml:space="preserve">Sam Luzentales-Simpson </w:t>
      </w:r>
    </w:p>
    <w:p w14:paraId="4820646B" w14:textId="5BD8ECE8" w:rsidR="00A94544" w:rsidRDefault="00A94544" w:rsidP="00A94544">
      <w:pPr>
        <w:spacing w:line="480" w:lineRule="auto"/>
        <w:rPr>
          <w:rFonts w:ascii="Times" w:hAnsi="Times"/>
        </w:rPr>
      </w:pPr>
      <w:r>
        <w:rPr>
          <w:rFonts w:ascii="Times" w:hAnsi="Times"/>
        </w:rPr>
        <w:t>4 December 2023</w:t>
      </w:r>
    </w:p>
    <w:p w14:paraId="6390323E" w14:textId="358206F7" w:rsidR="00A94544" w:rsidRDefault="00A94544" w:rsidP="00A94544">
      <w:pPr>
        <w:spacing w:line="480" w:lineRule="auto"/>
        <w:jc w:val="center"/>
        <w:rPr>
          <w:rFonts w:ascii="Times" w:hAnsi="Times"/>
        </w:rPr>
      </w:pPr>
      <w:r>
        <w:rPr>
          <w:rFonts w:ascii="Times" w:hAnsi="Times"/>
        </w:rPr>
        <w:t xml:space="preserve">Gender Dynamics and Representations in Restoration Literature </w:t>
      </w:r>
    </w:p>
    <w:p w14:paraId="665C116A" w14:textId="61C1EF6E" w:rsidR="001F4ACE" w:rsidRDefault="00A94544" w:rsidP="00A94544">
      <w:pPr>
        <w:spacing w:line="480" w:lineRule="auto"/>
        <w:rPr>
          <w:rFonts w:ascii="Times" w:hAnsi="Times"/>
        </w:rPr>
      </w:pPr>
      <w:r>
        <w:rPr>
          <w:rFonts w:ascii="Times" w:hAnsi="Times"/>
        </w:rPr>
        <w:tab/>
      </w:r>
      <w:r w:rsidR="00291B6F">
        <w:rPr>
          <w:rFonts w:ascii="Times" w:hAnsi="Times"/>
        </w:rPr>
        <w:t>Attitudes</w:t>
      </w:r>
      <w:r>
        <w:rPr>
          <w:rFonts w:ascii="Times" w:hAnsi="Times"/>
        </w:rPr>
        <w:t xml:space="preserve"> toward gender and sexual dynamics have changed drastically </w:t>
      </w:r>
      <w:r w:rsidR="00D9562D">
        <w:rPr>
          <w:rFonts w:ascii="Times" w:hAnsi="Times"/>
        </w:rPr>
        <w:t>since the Restoration period</w:t>
      </w:r>
      <w:r>
        <w:rPr>
          <w:rFonts w:ascii="Times" w:hAnsi="Times"/>
        </w:rPr>
        <w:t xml:space="preserve">. </w:t>
      </w:r>
      <w:r w:rsidR="007D0C6A">
        <w:rPr>
          <w:rFonts w:ascii="Times" w:hAnsi="Times"/>
        </w:rPr>
        <w:t>During this time</w:t>
      </w:r>
      <w:r w:rsidR="0083270F">
        <w:rPr>
          <w:rFonts w:ascii="Times" w:hAnsi="Times"/>
        </w:rPr>
        <w:t>,</w:t>
      </w:r>
      <w:r w:rsidR="007D0C6A">
        <w:rPr>
          <w:rFonts w:ascii="Times" w:hAnsi="Times"/>
        </w:rPr>
        <w:t xml:space="preserve"> women gained the ability to make a living on their own without being dependent on a man</w:t>
      </w:r>
      <w:r w:rsidR="00D9562D">
        <w:rPr>
          <w:rFonts w:ascii="Times" w:hAnsi="Times"/>
        </w:rPr>
        <w:t>, take the stage to act in plays, and several other freedoms</w:t>
      </w:r>
      <w:r w:rsidR="007D0C6A">
        <w:rPr>
          <w:rFonts w:ascii="Times" w:hAnsi="Times"/>
        </w:rPr>
        <w:t xml:space="preserve">. However, </w:t>
      </w:r>
      <w:r w:rsidR="00B35977">
        <w:rPr>
          <w:rFonts w:ascii="Times" w:hAnsi="Times"/>
        </w:rPr>
        <w:t>Harvey argues that within the 18</w:t>
      </w:r>
      <w:r w:rsidR="00B35977" w:rsidRPr="00A43653">
        <w:rPr>
          <w:rFonts w:ascii="Times" w:hAnsi="Times"/>
          <w:vertAlign w:val="superscript"/>
        </w:rPr>
        <w:t>th</w:t>
      </w:r>
      <w:r w:rsidR="00B35977">
        <w:rPr>
          <w:rFonts w:ascii="Times" w:hAnsi="Times"/>
        </w:rPr>
        <w:t xml:space="preserve"> century, they “witnessed the creation of a ‘new framework of gender relations’, in which the boundaries between male and female were more clearcut,” which is representative of the literature written during this period (904).</w:t>
      </w:r>
      <w:r w:rsidR="007D0C6A">
        <w:rPr>
          <w:rFonts w:ascii="Times" w:hAnsi="Times"/>
        </w:rPr>
        <w:t xml:space="preserve"> </w:t>
      </w:r>
      <w:r w:rsidR="00291B6F">
        <w:rPr>
          <w:rFonts w:ascii="Times" w:hAnsi="Times"/>
        </w:rPr>
        <w:t>A</w:t>
      </w:r>
      <w:r w:rsidR="005D10E0">
        <w:rPr>
          <w:rFonts w:ascii="Times" w:hAnsi="Times"/>
        </w:rPr>
        <w:t xml:space="preserve"> woman’s </w:t>
      </w:r>
      <w:r w:rsidR="00291B6F">
        <w:rPr>
          <w:rFonts w:ascii="Times" w:hAnsi="Times"/>
        </w:rPr>
        <w:t xml:space="preserve">urge for freedom and condemnation of traditional gender norms </w:t>
      </w:r>
      <w:r w:rsidR="005D10E0">
        <w:rPr>
          <w:rFonts w:ascii="Times" w:hAnsi="Times"/>
        </w:rPr>
        <w:t>w</w:t>
      </w:r>
      <w:r w:rsidR="00291B6F">
        <w:rPr>
          <w:rFonts w:ascii="Times" w:hAnsi="Times"/>
        </w:rPr>
        <w:t>ere</w:t>
      </w:r>
      <w:r w:rsidR="005D10E0">
        <w:rPr>
          <w:rFonts w:ascii="Times" w:hAnsi="Times"/>
        </w:rPr>
        <w:t xml:space="preserve"> seen as a direct threat to men and the</w:t>
      </w:r>
      <w:r w:rsidR="00B35977">
        <w:rPr>
          <w:rFonts w:ascii="Times" w:hAnsi="Times"/>
        </w:rPr>
        <w:t>ir gender representation</w:t>
      </w:r>
      <w:r w:rsidR="00AC0880">
        <w:rPr>
          <w:rFonts w:ascii="Times" w:hAnsi="Times"/>
        </w:rPr>
        <w:t>, which, in turn, threatened their power</w:t>
      </w:r>
      <w:r w:rsidR="005D10E0">
        <w:rPr>
          <w:rFonts w:ascii="Times" w:hAnsi="Times"/>
        </w:rPr>
        <w:t xml:space="preserve">. </w:t>
      </w:r>
      <w:r w:rsidR="000A1D8E">
        <w:rPr>
          <w:rFonts w:ascii="Times" w:hAnsi="Times"/>
        </w:rPr>
        <w:t>Harvey identifies this trend in the 18</w:t>
      </w:r>
      <w:r w:rsidR="000A1D8E" w:rsidRPr="000A1D8E">
        <w:rPr>
          <w:rFonts w:ascii="Times" w:hAnsi="Times"/>
          <w:vertAlign w:val="superscript"/>
        </w:rPr>
        <w:t>th</w:t>
      </w:r>
      <w:r w:rsidR="000A1D8E">
        <w:rPr>
          <w:rFonts w:ascii="Times" w:hAnsi="Times"/>
        </w:rPr>
        <w:t xml:space="preserve"> century as anxious masculinity, which displays “the gap between ideals of patriarchal manhood and social practice,” which resulted in a rise of this anxious masculinity (299). </w:t>
      </w:r>
      <w:r w:rsidR="0051588B">
        <w:rPr>
          <w:rFonts w:ascii="Times" w:hAnsi="Times"/>
        </w:rPr>
        <w:t>Therefore, by analyzing literature during this period, individuals in the 21</w:t>
      </w:r>
      <w:r w:rsidR="0051588B" w:rsidRPr="0051588B">
        <w:rPr>
          <w:rFonts w:ascii="Times" w:hAnsi="Times"/>
          <w:vertAlign w:val="superscript"/>
        </w:rPr>
        <w:t>st</w:t>
      </w:r>
      <w:r w:rsidR="0051588B">
        <w:rPr>
          <w:rFonts w:ascii="Times" w:hAnsi="Times"/>
        </w:rPr>
        <w:t xml:space="preserve"> century can better understand the importance of gender representation during this period and how </w:t>
      </w:r>
      <w:r w:rsidR="007A687A">
        <w:rPr>
          <w:rFonts w:ascii="Times" w:hAnsi="Times"/>
        </w:rPr>
        <w:t xml:space="preserve">men used their gender dynamics </w:t>
      </w:r>
      <w:r w:rsidR="0051588B">
        <w:rPr>
          <w:rFonts w:ascii="Times" w:hAnsi="Times"/>
        </w:rPr>
        <w:t xml:space="preserve">to further oppress women. </w:t>
      </w:r>
      <w:r w:rsidR="00B35977">
        <w:rPr>
          <w:rFonts w:ascii="Times" w:hAnsi="Times"/>
        </w:rPr>
        <w:t xml:space="preserve">Further, Harvey stresses that during this time, “gender relations were in part constituted by changes in the understanding of bodies that increasingly stressed opposites rather than hierarchy” (904). </w:t>
      </w:r>
      <w:r w:rsidR="00D9562D">
        <w:rPr>
          <w:rFonts w:ascii="Times" w:hAnsi="Times"/>
        </w:rPr>
        <w:t>Through analys</w:t>
      </w:r>
      <w:r w:rsidR="00B27BB0">
        <w:rPr>
          <w:rFonts w:ascii="Times" w:hAnsi="Times"/>
        </w:rPr>
        <w:t>i</w:t>
      </w:r>
      <w:r w:rsidR="00D9562D">
        <w:rPr>
          <w:rFonts w:ascii="Times" w:hAnsi="Times"/>
        </w:rPr>
        <w:t xml:space="preserve">s of plays such as William Wycherley’s </w:t>
      </w:r>
      <w:r w:rsidR="00D9562D">
        <w:rPr>
          <w:rFonts w:ascii="Times" w:hAnsi="Times"/>
          <w:i/>
          <w:iCs/>
        </w:rPr>
        <w:t>The Country Wife</w:t>
      </w:r>
      <w:r w:rsidR="00EE4C0B">
        <w:rPr>
          <w:rFonts w:ascii="Times" w:hAnsi="Times"/>
        </w:rPr>
        <w:t>,</w:t>
      </w:r>
      <w:r w:rsidR="008061F7">
        <w:rPr>
          <w:rFonts w:ascii="Times" w:hAnsi="Times"/>
        </w:rPr>
        <w:t xml:space="preserve"> and poems like “The Lady’s Dressing Room” written by Jonathan Swift,</w:t>
      </w:r>
      <w:r w:rsidR="00EE4C0B">
        <w:rPr>
          <w:rFonts w:ascii="Times" w:hAnsi="Times"/>
        </w:rPr>
        <w:t xml:space="preserve"> the audience can better understand </w:t>
      </w:r>
      <w:r w:rsidR="00291B6F" w:rsidRPr="00A505D4">
        <w:rPr>
          <w:rFonts w:ascii="Times" w:hAnsi="Times"/>
        </w:rPr>
        <w:t>how</w:t>
      </w:r>
      <w:r w:rsidR="00EE4C0B" w:rsidRPr="00A505D4">
        <w:rPr>
          <w:rFonts w:ascii="Times" w:hAnsi="Times"/>
        </w:rPr>
        <w:t xml:space="preserve"> men</w:t>
      </w:r>
      <w:r w:rsidR="00AD47C5" w:rsidRPr="00A505D4">
        <w:rPr>
          <w:rFonts w:ascii="Times" w:hAnsi="Times"/>
        </w:rPr>
        <w:t>’s anxious masculinity was</w:t>
      </w:r>
      <w:r w:rsidR="00EE4C0B" w:rsidRPr="00A505D4">
        <w:rPr>
          <w:rFonts w:ascii="Times" w:hAnsi="Times"/>
        </w:rPr>
        <w:t xml:space="preserve"> </w:t>
      </w:r>
      <w:r w:rsidR="00D11F73" w:rsidRPr="00A505D4">
        <w:rPr>
          <w:rFonts w:ascii="Times" w:hAnsi="Times"/>
        </w:rPr>
        <w:t>used to denounce</w:t>
      </w:r>
      <w:r w:rsidR="00EE4C0B" w:rsidRPr="00A505D4">
        <w:rPr>
          <w:rFonts w:ascii="Times" w:hAnsi="Times"/>
        </w:rPr>
        <w:t xml:space="preserve"> the freedoms of women and </w:t>
      </w:r>
      <w:r w:rsidR="0074589E" w:rsidRPr="00A505D4">
        <w:rPr>
          <w:rFonts w:ascii="Times" w:hAnsi="Times"/>
        </w:rPr>
        <w:t>disguise control through comedy</w:t>
      </w:r>
      <w:r w:rsidR="00EE4C0B" w:rsidRPr="00A505D4">
        <w:rPr>
          <w:rFonts w:ascii="Times" w:hAnsi="Times"/>
        </w:rPr>
        <w:t>.</w:t>
      </w:r>
      <w:r w:rsidR="00E14344" w:rsidRPr="00A505D4">
        <w:rPr>
          <w:rFonts w:ascii="Times" w:hAnsi="Times"/>
        </w:rPr>
        <w:t xml:space="preserve"> </w:t>
      </w:r>
      <w:r w:rsidR="00EA5A68" w:rsidRPr="00A505D4">
        <w:rPr>
          <w:rFonts w:ascii="Times" w:hAnsi="Times"/>
        </w:rPr>
        <w:t xml:space="preserve">The </w:t>
      </w:r>
      <w:r w:rsidR="00120D95" w:rsidRPr="00A505D4">
        <w:rPr>
          <w:rFonts w:ascii="Times" w:hAnsi="Times"/>
        </w:rPr>
        <w:t xml:space="preserve">literature </w:t>
      </w:r>
      <w:r w:rsidR="00EA5A68" w:rsidRPr="00A505D4">
        <w:rPr>
          <w:rFonts w:ascii="Times" w:hAnsi="Times"/>
        </w:rPr>
        <w:t>also</w:t>
      </w:r>
      <w:r w:rsidR="00A43653" w:rsidRPr="00A505D4">
        <w:rPr>
          <w:rFonts w:ascii="Times" w:hAnsi="Times"/>
        </w:rPr>
        <w:t xml:space="preserve"> proved how women were viewed as property,</w:t>
      </w:r>
      <w:r w:rsidR="00EE4C0B" w:rsidRPr="00A505D4">
        <w:rPr>
          <w:rFonts w:ascii="Times" w:hAnsi="Times"/>
        </w:rPr>
        <w:t xml:space="preserve"> </w:t>
      </w:r>
      <w:r w:rsidR="00A43653" w:rsidRPr="00A505D4">
        <w:rPr>
          <w:rFonts w:ascii="Times" w:hAnsi="Times"/>
        </w:rPr>
        <w:t>rather than human beings with human emotions, actions, and feelings.</w:t>
      </w:r>
      <w:r w:rsidR="00A43653">
        <w:rPr>
          <w:rFonts w:ascii="Times" w:hAnsi="Times"/>
        </w:rPr>
        <w:t xml:space="preserve"> </w:t>
      </w:r>
      <w:r w:rsidR="00120D95">
        <w:rPr>
          <w:rFonts w:ascii="Times" w:hAnsi="Times"/>
        </w:rPr>
        <w:t xml:space="preserve">Therefore, women were frequently dehumanized and categorized as </w:t>
      </w:r>
      <w:r w:rsidR="00120D95">
        <w:rPr>
          <w:rFonts w:ascii="Times" w:hAnsi="Times"/>
        </w:rPr>
        <w:lastRenderedPageBreak/>
        <w:t xml:space="preserve">“other,” which is shown in both works. </w:t>
      </w:r>
      <w:r w:rsidR="002F5C05">
        <w:rPr>
          <w:rFonts w:ascii="Times" w:hAnsi="Times"/>
        </w:rPr>
        <w:t>Also</w:t>
      </w:r>
      <w:r w:rsidR="00120D95">
        <w:rPr>
          <w:rFonts w:ascii="Times" w:hAnsi="Times"/>
        </w:rPr>
        <w:t>, b</w:t>
      </w:r>
      <w:r w:rsidR="00EA5A68">
        <w:rPr>
          <w:rFonts w:ascii="Times" w:hAnsi="Times"/>
        </w:rPr>
        <w:t xml:space="preserve">oth pieces of literature were written by men about women, which provides a clear understanding of </w:t>
      </w:r>
      <w:r w:rsidR="00FD3532">
        <w:rPr>
          <w:rFonts w:ascii="Times" w:hAnsi="Times"/>
        </w:rPr>
        <w:t xml:space="preserve">how gender dynamics and representations were a “male tool used in an attempt to dissipate women’s power” and “erases autonomous individuals” by forcing them into a gendered box (Harvey 296). </w:t>
      </w:r>
    </w:p>
    <w:p w14:paraId="51E33E4E" w14:textId="23AA9359" w:rsidR="00234F10" w:rsidRDefault="00670ECE" w:rsidP="00A94544">
      <w:pPr>
        <w:spacing w:line="480" w:lineRule="auto"/>
        <w:rPr>
          <w:rFonts w:ascii="Times" w:hAnsi="Times"/>
          <w:b/>
          <w:bCs/>
        </w:rPr>
      </w:pPr>
      <w:r>
        <w:rPr>
          <w:rFonts w:ascii="Times" w:hAnsi="Times"/>
          <w:b/>
          <w:bCs/>
        </w:rPr>
        <w:t>Anxious Masculinity</w:t>
      </w:r>
    </w:p>
    <w:p w14:paraId="6D311581" w14:textId="3F3F40B2" w:rsidR="00234F10" w:rsidRPr="00234F10" w:rsidRDefault="00234F10" w:rsidP="00A94544">
      <w:pPr>
        <w:spacing w:line="480" w:lineRule="auto"/>
        <w:rPr>
          <w:rFonts w:ascii="Times" w:hAnsi="Times"/>
          <w:i/>
          <w:iCs/>
        </w:rPr>
      </w:pPr>
      <w:r>
        <w:rPr>
          <w:rFonts w:ascii="Times" w:hAnsi="Times"/>
          <w:i/>
          <w:iCs/>
        </w:rPr>
        <w:t>Horner</w:t>
      </w:r>
    </w:p>
    <w:p w14:paraId="7137DA54" w14:textId="548F7989" w:rsidR="00A94544" w:rsidRDefault="001F4ACE" w:rsidP="00A94544">
      <w:pPr>
        <w:spacing w:line="480" w:lineRule="auto"/>
        <w:rPr>
          <w:rFonts w:ascii="Times" w:hAnsi="Times"/>
        </w:rPr>
      </w:pPr>
      <w:r>
        <w:rPr>
          <w:rFonts w:ascii="Times" w:hAnsi="Times"/>
        </w:rPr>
        <w:tab/>
      </w:r>
      <w:r w:rsidR="00D11F73">
        <w:rPr>
          <w:rFonts w:ascii="Times" w:hAnsi="Times"/>
        </w:rPr>
        <w:t xml:space="preserve">Wycherley’s play, </w:t>
      </w:r>
      <w:r w:rsidR="00D11F73">
        <w:rPr>
          <w:rFonts w:ascii="Times" w:hAnsi="Times"/>
          <w:i/>
          <w:iCs/>
        </w:rPr>
        <w:t>The Country Wife</w:t>
      </w:r>
      <w:r w:rsidR="00D11F73">
        <w:rPr>
          <w:rFonts w:ascii="Times" w:hAnsi="Times"/>
        </w:rPr>
        <w:t xml:space="preserve">, uses sex and sexual representations to oppress women and uses them as an accessory </w:t>
      </w:r>
      <w:r w:rsidR="0023161D">
        <w:rPr>
          <w:rFonts w:ascii="Times" w:hAnsi="Times"/>
        </w:rPr>
        <w:t xml:space="preserve">for comedy, </w:t>
      </w:r>
      <w:r w:rsidR="00D11F73">
        <w:rPr>
          <w:rFonts w:ascii="Times" w:hAnsi="Times"/>
        </w:rPr>
        <w:t xml:space="preserve">which further denounces their freedoms and autonomy. </w:t>
      </w:r>
      <w:r w:rsidR="001127F2">
        <w:rPr>
          <w:rFonts w:ascii="Times" w:hAnsi="Times"/>
        </w:rPr>
        <w:t>Despite Lady Fidget and Mrs. Dain</w:t>
      </w:r>
      <w:r w:rsidR="002079F4">
        <w:rPr>
          <w:rFonts w:ascii="Times" w:hAnsi="Times"/>
        </w:rPr>
        <w:t>ty Fidget</w:t>
      </w:r>
      <w:r w:rsidR="001127F2">
        <w:rPr>
          <w:rFonts w:ascii="Times" w:hAnsi="Times"/>
        </w:rPr>
        <w:t xml:space="preserve">’s disdain toward Horner, their wishes and opinions are completely ignored by Horner as he states, “If I can but abuse the husbands, I’ll soon disabuse the wives” (Wycherley </w:t>
      </w:r>
      <w:r w:rsidR="005C5EF8">
        <w:rPr>
          <w:rFonts w:ascii="Times" w:hAnsi="Times"/>
        </w:rPr>
        <w:t>253</w:t>
      </w:r>
      <w:r w:rsidR="001127F2">
        <w:rPr>
          <w:rFonts w:ascii="Times" w:hAnsi="Times"/>
        </w:rPr>
        <w:t xml:space="preserve">). Horner believes that he can influence the women’s husbands into believing his impotency, therefore, allowing him room to cuckold the men and sleep with their wives, even though they </w:t>
      </w:r>
      <w:r w:rsidR="0074589E">
        <w:rPr>
          <w:rFonts w:ascii="Times" w:hAnsi="Times"/>
        </w:rPr>
        <w:t>want</w:t>
      </w:r>
      <w:r w:rsidR="001127F2">
        <w:rPr>
          <w:rFonts w:ascii="Times" w:hAnsi="Times"/>
        </w:rPr>
        <w:t xml:space="preserve"> nothing to do with him. </w:t>
      </w:r>
      <w:r w:rsidR="00882850">
        <w:rPr>
          <w:rFonts w:ascii="Times" w:hAnsi="Times"/>
        </w:rPr>
        <w:t xml:space="preserve">As the women were free to offer their personal opinions on Horner, he viewed their disgust toward him as a challenge to manipulate them into sexual intercourse. </w:t>
      </w:r>
      <w:r w:rsidR="00D63CB4">
        <w:rPr>
          <w:rFonts w:ascii="Times" w:hAnsi="Times"/>
        </w:rPr>
        <w:t xml:space="preserve">Horner contributes to the trend of anxious masculinity by seducing women in relationships as a means of holding power over them. </w:t>
      </w:r>
      <w:r w:rsidR="003B7B1B">
        <w:rPr>
          <w:rFonts w:ascii="Times" w:hAnsi="Times"/>
        </w:rPr>
        <w:t>Wycherley uses the lack of autonomy women had during this period as a means of comedy rather than acknowledging the ways this type of humour</w:t>
      </w:r>
      <w:r w:rsidR="00B27BB0">
        <w:rPr>
          <w:rFonts w:ascii="Times" w:hAnsi="Times"/>
        </w:rPr>
        <w:t xml:space="preserve"> </w:t>
      </w:r>
      <w:r w:rsidR="003B7B1B">
        <w:rPr>
          <w:rFonts w:ascii="Times" w:hAnsi="Times"/>
        </w:rPr>
        <w:t xml:space="preserve">directly correlates to the oppression of women. </w:t>
      </w:r>
      <w:r w:rsidR="000957AF">
        <w:rPr>
          <w:rFonts w:ascii="Times" w:hAnsi="Times"/>
        </w:rPr>
        <w:t xml:space="preserve">Horner’s use of manipulation as a way of obtaining sex would be </w:t>
      </w:r>
      <w:r w:rsidR="00AB3FA8">
        <w:rPr>
          <w:rFonts w:ascii="Times" w:hAnsi="Times"/>
        </w:rPr>
        <w:t xml:space="preserve">what Harvey calls “The Polite Gentleman” (301). The Polite Gentleman was characterized by his “[strive] for restraint” and being “easy and thoughtful of others” (Harvey 301). </w:t>
      </w:r>
      <w:r w:rsidR="00616570">
        <w:rPr>
          <w:rFonts w:ascii="Times" w:hAnsi="Times"/>
        </w:rPr>
        <w:t xml:space="preserve">However, Horner’s identification with The Polite Gentleman was used as a means of manipulation, rather than out of genuine concern and interest in women. Horner uses his politeness to get close to the women and gain trust among </w:t>
      </w:r>
      <w:r w:rsidR="00616570">
        <w:rPr>
          <w:rFonts w:ascii="Times" w:hAnsi="Times"/>
        </w:rPr>
        <w:lastRenderedPageBreak/>
        <w:t>them, which is proven when Lady Fidget claims him to be “so generous, so truly a man of honour” for being truthful about his impotency</w:t>
      </w:r>
      <w:r w:rsidR="0084009F">
        <w:rPr>
          <w:rFonts w:ascii="Times" w:hAnsi="Times"/>
        </w:rPr>
        <w:t xml:space="preserve"> and risking his reputation </w:t>
      </w:r>
      <w:r w:rsidR="00616570">
        <w:rPr>
          <w:rFonts w:ascii="Times" w:hAnsi="Times"/>
        </w:rPr>
        <w:t>(Wycherley 282)</w:t>
      </w:r>
      <w:r w:rsidR="0084009F">
        <w:rPr>
          <w:rFonts w:ascii="Times" w:hAnsi="Times"/>
        </w:rPr>
        <w:t xml:space="preserve">. </w:t>
      </w:r>
      <w:r w:rsidR="0031585B">
        <w:rPr>
          <w:rFonts w:ascii="Times" w:hAnsi="Times"/>
        </w:rPr>
        <w:t xml:space="preserve">The anxious masculinity that exists within Wycherley is shown in the ways Horner uses manipulation tactics to hold power over the women in the play. </w:t>
      </w:r>
      <w:r w:rsidR="00AD3512">
        <w:rPr>
          <w:rFonts w:ascii="Times" w:hAnsi="Times"/>
        </w:rPr>
        <w:t xml:space="preserve">By perceiving women as gullible and ignorant, he further oppresses women </w:t>
      </w:r>
      <w:r w:rsidR="0034415A">
        <w:rPr>
          <w:rFonts w:ascii="Times" w:hAnsi="Times"/>
        </w:rPr>
        <w:t>by</w:t>
      </w:r>
      <w:r w:rsidR="00AD3512">
        <w:rPr>
          <w:rFonts w:ascii="Times" w:hAnsi="Times"/>
        </w:rPr>
        <w:t xml:space="preserve"> categoriz</w:t>
      </w:r>
      <w:r w:rsidR="0034415A">
        <w:rPr>
          <w:rFonts w:ascii="Times" w:hAnsi="Times"/>
        </w:rPr>
        <w:t>ing</w:t>
      </w:r>
      <w:r w:rsidR="00AD3512">
        <w:rPr>
          <w:rFonts w:ascii="Times" w:hAnsi="Times"/>
        </w:rPr>
        <w:t xml:space="preserve"> them separately from men and their gender representation. </w:t>
      </w:r>
    </w:p>
    <w:p w14:paraId="1C7D92E2" w14:textId="7F4CC97F" w:rsidR="00FA62CC" w:rsidRPr="00FA62CC" w:rsidRDefault="00FA62CC" w:rsidP="00A94544">
      <w:pPr>
        <w:spacing w:line="480" w:lineRule="auto"/>
        <w:rPr>
          <w:rFonts w:ascii="Times" w:hAnsi="Times"/>
          <w:b/>
          <w:bCs/>
        </w:rPr>
      </w:pPr>
      <w:r>
        <w:rPr>
          <w:rFonts w:ascii="Times" w:hAnsi="Times"/>
        </w:rPr>
        <w:t xml:space="preserve"> </w:t>
      </w:r>
      <w:r>
        <w:rPr>
          <w:rFonts w:ascii="Times" w:hAnsi="Times"/>
          <w:b/>
          <w:bCs/>
        </w:rPr>
        <w:t xml:space="preserve">Control </w:t>
      </w:r>
      <w:r w:rsidR="00723DBB">
        <w:rPr>
          <w:rFonts w:ascii="Times" w:hAnsi="Times"/>
          <w:b/>
          <w:bCs/>
        </w:rPr>
        <w:t>O</w:t>
      </w:r>
      <w:r>
        <w:rPr>
          <w:rFonts w:ascii="Times" w:hAnsi="Times"/>
          <w:b/>
          <w:bCs/>
        </w:rPr>
        <w:t xml:space="preserve">ver Women: </w:t>
      </w:r>
    </w:p>
    <w:p w14:paraId="0AC6B26E" w14:textId="3587BC99" w:rsidR="00472F8C" w:rsidRDefault="00234F10" w:rsidP="00A94544">
      <w:pPr>
        <w:spacing w:line="480" w:lineRule="auto"/>
        <w:rPr>
          <w:rFonts w:ascii="Times" w:hAnsi="Times"/>
          <w:i/>
          <w:iCs/>
        </w:rPr>
      </w:pPr>
      <w:r>
        <w:rPr>
          <w:rFonts w:ascii="Times" w:hAnsi="Times"/>
          <w:i/>
          <w:iCs/>
        </w:rPr>
        <w:t>Pinchwife</w:t>
      </w:r>
      <w:r w:rsidR="00CA156D">
        <w:rPr>
          <w:rFonts w:ascii="Times" w:hAnsi="Times"/>
          <w:i/>
          <w:iCs/>
        </w:rPr>
        <w:t xml:space="preserve"> </w:t>
      </w:r>
    </w:p>
    <w:p w14:paraId="5BCC149A" w14:textId="58C1CB10" w:rsidR="00234F10" w:rsidRDefault="00234F10" w:rsidP="00A94544">
      <w:pPr>
        <w:spacing w:line="480" w:lineRule="auto"/>
        <w:rPr>
          <w:rFonts w:ascii="Times" w:hAnsi="Times"/>
        </w:rPr>
      </w:pPr>
      <w:r>
        <w:rPr>
          <w:rFonts w:ascii="Times" w:hAnsi="Times"/>
        </w:rPr>
        <w:tab/>
      </w:r>
      <w:r w:rsidR="00BD26CF">
        <w:rPr>
          <w:rFonts w:ascii="Times" w:hAnsi="Times"/>
        </w:rPr>
        <w:t>Horner is not the only</w:t>
      </w:r>
      <w:r w:rsidR="00B02A85">
        <w:rPr>
          <w:rFonts w:ascii="Times" w:hAnsi="Times"/>
        </w:rPr>
        <w:t xml:space="preserve"> character</w:t>
      </w:r>
      <w:r w:rsidR="00BD26CF">
        <w:rPr>
          <w:rFonts w:ascii="Times" w:hAnsi="Times"/>
        </w:rPr>
        <w:t xml:space="preserve"> in Wycherley’s play that denounces women's freedoms through </w:t>
      </w:r>
      <w:r w:rsidR="008D14D3">
        <w:rPr>
          <w:rFonts w:ascii="Times" w:hAnsi="Times"/>
        </w:rPr>
        <w:t>the gender dynamics and representations that existed during the Restoration period</w:t>
      </w:r>
      <w:r w:rsidR="00BD26CF">
        <w:rPr>
          <w:rFonts w:ascii="Times" w:hAnsi="Times"/>
        </w:rPr>
        <w:t xml:space="preserve">. </w:t>
      </w:r>
      <w:r w:rsidR="00791710">
        <w:rPr>
          <w:rFonts w:ascii="Times" w:hAnsi="Times"/>
        </w:rPr>
        <w:t xml:space="preserve">Bacon acknowledges the anxious masculinity that exists in Pinchwife’s character and how he uses the “lack of legal power” women had at this time to further oppress them (427). </w:t>
      </w:r>
      <w:r w:rsidR="0035781C">
        <w:rPr>
          <w:rFonts w:ascii="Times" w:hAnsi="Times"/>
        </w:rPr>
        <w:t xml:space="preserve">Pinchwife’s insecurity and anxiety toward his loss of control and power are evident throughout the play. Not only does he tell </w:t>
      </w:r>
      <w:proofErr w:type="spellStart"/>
      <w:r w:rsidR="0035781C">
        <w:rPr>
          <w:rFonts w:ascii="Times" w:hAnsi="Times"/>
        </w:rPr>
        <w:t>Alithia</w:t>
      </w:r>
      <w:proofErr w:type="spellEnd"/>
      <w:r w:rsidR="0035781C">
        <w:rPr>
          <w:rFonts w:ascii="Times" w:hAnsi="Times"/>
        </w:rPr>
        <w:t xml:space="preserve"> to “beg you keep her in ignorance, as [he] does,” he also tells his wife that she “must love [him] only; and not be like the naughty town-women, who only hate their husbands, and love every man else,” due to his insecurities of being cuckolded and losing power within their relationship dynamic (Wycherley 267). Pinchwife is aware of the legal power he holds over Mrs. Pinchwife, making it impossible for her to oppose him unless she wants to risk her reputation, financial stability, and status. </w:t>
      </w:r>
      <w:r w:rsidR="00F34899">
        <w:rPr>
          <w:rFonts w:ascii="Times" w:hAnsi="Times"/>
        </w:rPr>
        <w:t xml:space="preserve">Bacon explains that “during the early modern period in England, a wife was both personally and legally subject to her husband” (430). Therefore, by placing restraints on Mrs. Pinchwife, Pinchwife is forcing her to exist within the 18th-century norm of what makes a good wife and if she refutes this, she risks losing her livelihood and safety. </w:t>
      </w:r>
      <w:r w:rsidR="00384EB9">
        <w:rPr>
          <w:rFonts w:ascii="Times" w:hAnsi="Times"/>
        </w:rPr>
        <w:t xml:space="preserve">Pinchwife uses his legal power over Mrs. Pinchwife as a means of further oppressing her and her </w:t>
      </w:r>
      <w:r w:rsidR="00384EB9">
        <w:rPr>
          <w:rFonts w:ascii="Times" w:hAnsi="Times"/>
        </w:rPr>
        <w:lastRenderedPageBreak/>
        <w:t>autonomy in her sex and sexual representations. By using the gender representations of the 18</w:t>
      </w:r>
      <w:r w:rsidR="00384EB9" w:rsidRPr="00384EB9">
        <w:rPr>
          <w:rFonts w:ascii="Times" w:hAnsi="Times"/>
          <w:vertAlign w:val="superscript"/>
        </w:rPr>
        <w:t>th</w:t>
      </w:r>
      <w:r w:rsidR="00384EB9">
        <w:rPr>
          <w:rFonts w:ascii="Times" w:hAnsi="Times"/>
        </w:rPr>
        <w:t xml:space="preserve"> century, Pinchwife threatens his wife</w:t>
      </w:r>
      <w:r w:rsidR="00392C4D">
        <w:rPr>
          <w:rFonts w:ascii="Times" w:hAnsi="Times"/>
        </w:rPr>
        <w:t xml:space="preserve"> and categorizes her as “other,” so she is represented separately from him</w:t>
      </w:r>
      <w:r w:rsidR="00384EB9">
        <w:rPr>
          <w:rFonts w:ascii="Times" w:hAnsi="Times"/>
        </w:rPr>
        <w:t xml:space="preserve">.   </w:t>
      </w:r>
    </w:p>
    <w:p w14:paraId="7B8249D2" w14:textId="35DBB69A" w:rsidR="001E6D7B" w:rsidRDefault="00CA156D" w:rsidP="00A94544">
      <w:pPr>
        <w:spacing w:line="480" w:lineRule="auto"/>
        <w:rPr>
          <w:rFonts w:ascii="Times" w:hAnsi="Times"/>
          <w:b/>
          <w:bCs/>
        </w:rPr>
      </w:pPr>
      <w:r>
        <w:rPr>
          <w:rFonts w:ascii="Times" w:hAnsi="Times"/>
          <w:b/>
          <w:bCs/>
        </w:rPr>
        <w:t>Dehumanization of Women</w:t>
      </w:r>
    </w:p>
    <w:p w14:paraId="28168F3B" w14:textId="463A9F1F" w:rsidR="002F5C05" w:rsidRPr="002F5C05" w:rsidRDefault="002F5C05" w:rsidP="00A94544">
      <w:pPr>
        <w:spacing w:line="480" w:lineRule="auto"/>
        <w:rPr>
          <w:rFonts w:ascii="Times" w:hAnsi="Times"/>
          <w:i/>
          <w:iCs/>
        </w:rPr>
      </w:pPr>
      <w:r>
        <w:rPr>
          <w:rFonts w:ascii="Times" w:hAnsi="Times"/>
          <w:i/>
          <w:iCs/>
        </w:rPr>
        <w:t>The Country Wife</w:t>
      </w:r>
    </w:p>
    <w:p w14:paraId="25ACBB32" w14:textId="00A5F615" w:rsidR="00C9526C" w:rsidRDefault="001E6D7B" w:rsidP="00A94544">
      <w:pPr>
        <w:spacing w:line="480" w:lineRule="auto"/>
        <w:rPr>
          <w:rFonts w:ascii="Times" w:hAnsi="Times"/>
        </w:rPr>
      </w:pPr>
      <w:r>
        <w:rPr>
          <w:rFonts w:ascii="Times" w:hAnsi="Times"/>
        </w:rPr>
        <w:tab/>
      </w:r>
      <w:r w:rsidR="00E511F5">
        <w:rPr>
          <w:rFonts w:ascii="Times" w:hAnsi="Times"/>
        </w:rPr>
        <w:t xml:space="preserve">As previously </w:t>
      </w:r>
      <w:r w:rsidR="00A7215E">
        <w:rPr>
          <w:rFonts w:ascii="Times" w:hAnsi="Times"/>
        </w:rPr>
        <w:t>discussed</w:t>
      </w:r>
      <w:r w:rsidR="00E511F5">
        <w:rPr>
          <w:rFonts w:ascii="Times" w:hAnsi="Times"/>
        </w:rPr>
        <w:t xml:space="preserve">, Bacon </w:t>
      </w:r>
      <w:r w:rsidR="00A7215E">
        <w:rPr>
          <w:rFonts w:ascii="Times" w:hAnsi="Times"/>
        </w:rPr>
        <w:t>explains</w:t>
      </w:r>
      <w:r w:rsidR="00E511F5">
        <w:rPr>
          <w:rFonts w:ascii="Times" w:hAnsi="Times"/>
        </w:rPr>
        <w:t xml:space="preserve"> the focus on “the traditional distinction between ‘male’ and ‘female’ activity</w:t>
      </w:r>
      <w:r w:rsidR="00A7215E">
        <w:rPr>
          <w:rFonts w:ascii="Times" w:hAnsi="Times"/>
        </w:rPr>
        <w:t xml:space="preserve">” during the Restoration period </w:t>
      </w:r>
      <w:r w:rsidR="00E511F5">
        <w:rPr>
          <w:rFonts w:ascii="Times" w:hAnsi="Times"/>
        </w:rPr>
        <w:t xml:space="preserve">(430). </w:t>
      </w:r>
      <w:r w:rsidR="00A7215E">
        <w:rPr>
          <w:rFonts w:ascii="Times" w:hAnsi="Times"/>
        </w:rPr>
        <w:t xml:space="preserve">The legality </w:t>
      </w:r>
      <w:r w:rsidR="00E84696">
        <w:rPr>
          <w:rFonts w:ascii="Times" w:hAnsi="Times"/>
        </w:rPr>
        <w:t>of</w:t>
      </w:r>
      <w:r w:rsidR="00A7215E">
        <w:rPr>
          <w:rFonts w:ascii="Times" w:hAnsi="Times"/>
        </w:rPr>
        <w:t xml:space="preserve"> such issues forced women into the position of property and ownership</w:t>
      </w:r>
      <w:r w:rsidR="00B02A85">
        <w:rPr>
          <w:rFonts w:ascii="Times" w:hAnsi="Times"/>
        </w:rPr>
        <w:t>, as discussed with Mrs. Pinchwife</w:t>
      </w:r>
      <w:r w:rsidR="00E84696">
        <w:rPr>
          <w:rFonts w:ascii="Times" w:hAnsi="Times"/>
        </w:rPr>
        <w:t xml:space="preserve">. While Pinchwife’s character perfectly acknowledges the issue of women as property in </w:t>
      </w:r>
      <w:r w:rsidR="00E84696">
        <w:rPr>
          <w:rFonts w:ascii="Times" w:hAnsi="Times"/>
          <w:i/>
          <w:iCs/>
        </w:rPr>
        <w:t>The Country Wife</w:t>
      </w:r>
      <w:r w:rsidR="00E84696">
        <w:rPr>
          <w:rFonts w:ascii="Times" w:hAnsi="Times"/>
        </w:rPr>
        <w:t xml:space="preserve">, Wycherley </w:t>
      </w:r>
      <w:r w:rsidR="00D03936">
        <w:rPr>
          <w:rFonts w:ascii="Times" w:hAnsi="Times"/>
        </w:rPr>
        <w:t xml:space="preserve">further </w:t>
      </w:r>
      <w:r w:rsidR="00E84696">
        <w:rPr>
          <w:rFonts w:ascii="Times" w:hAnsi="Times"/>
        </w:rPr>
        <w:t xml:space="preserve">proves this in multiple other forms throughout the play. Horner jokes with his friends about women being </w:t>
      </w:r>
      <w:r w:rsidR="00092F82">
        <w:rPr>
          <w:rFonts w:ascii="Times" w:hAnsi="Times"/>
        </w:rPr>
        <w:t xml:space="preserve">comparable to a </w:t>
      </w:r>
      <w:r w:rsidR="00E84696">
        <w:rPr>
          <w:rFonts w:ascii="Times" w:hAnsi="Times"/>
        </w:rPr>
        <w:t xml:space="preserve">“soft, gentle, tame, and more noble creature a spaniel, and has all their tricks. . . And all the difference is, the spaniel’s the more faithful animal, and fawns but upon one master” (Wycherley 280). </w:t>
      </w:r>
      <w:r w:rsidR="00E612B6">
        <w:rPr>
          <w:rFonts w:ascii="Times" w:hAnsi="Times"/>
        </w:rPr>
        <w:t>Th</w:t>
      </w:r>
      <w:r w:rsidR="00092F82">
        <w:rPr>
          <w:rFonts w:ascii="Times" w:hAnsi="Times"/>
        </w:rPr>
        <w:t xml:space="preserve">is harmful comparison </w:t>
      </w:r>
      <w:r w:rsidR="00E612B6">
        <w:rPr>
          <w:rFonts w:ascii="Times" w:hAnsi="Times"/>
        </w:rPr>
        <w:t xml:space="preserve">of a wife to a spaniel provides insight into how men may have viewed their wives during this time. </w:t>
      </w:r>
      <w:r w:rsidR="00D90A9B">
        <w:rPr>
          <w:rFonts w:ascii="Times" w:hAnsi="Times"/>
        </w:rPr>
        <w:t>Women, like pets,</w:t>
      </w:r>
      <w:r w:rsidR="00092F82">
        <w:rPr>
          <w:rFonts w:ascii="Times" w:hAnsi="Times"/>
        </w:rPr>
        <w:t xml:space="preserve"> </w:t>
      </w:r>
      <w:r w:rsidR="00D90A9B">
        <w:rPr>
          <w:rFonts w:ascii="Times" w:hAnsi="Times"/>
        </w:rPr>
        <w:t>were treated as</w:t>
      </w:r>
      <w:r w:rsidR="00092F82">
        <w:rPr>
          <w:rFonts w:ascii="Times" w:hAnsi="Times"/>
        </w:rPr>
        <w:t xml:space="preserve"> property to own, control, and train. Robert Whitehall argues that “instead of aspiring after ‘equall Autority with their Husbands,” they should learn to win their husbands’ affection,” like how a pet could win its owner's affections (qtd. in Bacon 431).</w:t>
      </w:r>
      <w:r w:rsidR="00C02EFF">
        <w:rPr>
          <w:rFonts w:ascii="Times" w:hAnsi="Times"/>
        </w:rPr>
        <w:t xml:space="preserve"> Women’s gender dynamics during this time forced them to be passive, needy, and compliant. If they went against these norms, they would have been condemned and punished by their husbands. </w:t>
      </w:r>
      <w:r w:rsidR="00C83188">
        <w:rPr>
          <w:rFonts w:ascii="Times" w:hAnsi="Times"/>
        </w:rPr>
        <w:t xml:space="preserve">Bacon argues that “in a century when few women were able to sign their own names, writing had an obvious relevance to feminine identity,” as writing and the ability to sign for themselves “carried considerable significance in terms of political self-assertion (433). Therefore, Pinchwife’s wish that Mrs. Pinchwife “could not [write] at all,” displays his wish for </w:t>
      </w:r>
      <w:r w:rsidR="00C83188">
        <w:rPr>
          <w:rFonts w:ascii="Times" w:hAnsi="Times"/>
        </w:rPr>
        <w:lastRenderedPageBreak/>
        <w:t xml:space="preserve">her to have no self-assertion, making her unable to legally speak for herself. </w:t>
      </w:r>
      <w:r w:rsidR="00C30B88">
        <w:rPr>
          <w:rFonts w:ascii="Times" w:hAnsi="Times"/>
        </w:rPr>
        <w:t xml:space="preserve">Wycherley’s use of women as the punchline for his jokes proves a more deep-rooted issue than what is presented on the surface. The attempts to dehumanize women and strip them of their rights as a means of comedy </w:t>
      </w:r>
      <w:r w:rsidR="00FE5B56">
        <w:rPr>
          <w:rFonts w:ascii="Times" w:hAnsi="Times"/>
        </w:rPr>
        <w:t>prove</w:t>
      </w:r>
      <w:r w:rsidR="00C30B88">
        <w:rPr>
          <w:rFonts w:ascii="Times" w:hAnsi="Times"/>
        </w:rPr>
        <w:t xml:space="preserve"> how gender dynamics and representations of women were used </w:t>
      </w:r>
      <w:r w:rsidR="00C02EFF">
        <w:rPr>
          <w:rFonts w:ascii="Times" w:hAnsi="Times"/>
        </w:rPr>
        <w:t>against them as a means of oppression</w:t>
      </w:r>
      <w:r w:rsidR="00C30B88">
        <w:rPr>
          <w:rFonts w:ascii="Times" w:hAnsi="Times"/>
        </w:rPr>
        <w:t xml:space="preserve">, rather than simply being a light-hearted joke.  </w:t>
      </w:r>
    </w:p>
    <w:p w14:paraId="1B5EEACA" w14:textId="72360E91" w:rsidR="002F5C05" w:rsidRPr="00F96C6D" w:rsidRDefault="002F5C05" w:rsidP="00A94544">
      <w:pPr>
        <w:spacing w:line="480" w:lineRule="auto"/>
        <w:rPr>
          <w:rFonts w:ascii="Times" w:hAnsi="Times"/>
        </w:rPr>
      </w:pPr>
      <w:r>
        <w:rPr>
          <w:rFonts w:ascii="Times" w:hAnsi="Times"/>
          <w:i/>
          <w:iCs/>
        </w:rPr>
        <w:t>“The Lady’s Dressing Room”</w:t>
      </w:r>
    </w:p>
    <w:p w14:paraId="1516282A" w14:textId="1CF332D5" w:rsidR="007959A1" w:rsidRDefault="00812574" w:rsidP="00676B29">
      <w:pPr>
        <w:spacing w:line="480" w:lineRule="auto"/>
        <w:ind w:firstLine="720"/>
        <w:rPr>
          <w:rFonts w:ascii="Times" w:hAnsi="Times"/>
        </w:rPr>
      </w:pPr>
      <w:r>
        <w:rPr>
          <w:rFonts w:ascii="Times" w:hAnsi="Times"/>
        </w:rPr>
        <w:t xml:space="preserve">The representation of women as pets, or legal minions during the Restoration period, was </w:t>
      </w:r>
      <w:r w:rsidR="00C67BC0">
        <w:rPr>
          <w:rFonts w:ascii="Times" w:hAnsi="Times"/>
        </w:rPr>
        <w:t>a common form</w:t>
      </w:r>
      <w:r>
        <w:rPr>
          <w:rFonts w:ascii="Times" w:hAnsi="Times"/>
        </w:rPr>
        <w:t xml:space="preserve"> of comedy in Wycherley’s play, </w:t>
      </w:r>
      <w:r w:rsidR="00C9526C">
        <w:rPr>
          <w:rFonts w:ascii="Times" w:hAnsi="Times"/>
        </w:rPr>
        <w:t xml:space="preserve">which parallels Swift’s poem, “The Lady’s Dressing Room,” where humour is </w:t>
      </w:r>
      <w:r w:rsidR="00ED2369">
        <w:rPr>
          <w:rFonts w:ascii="Times" w:hAnsi="Times"/>
        </w:rPr>
        <w:t xml:space="preserve">also </w:t>
      </w:r>
      <w:r w:rsidR="00C9526C">
        <w:rPr>
          <w:rFonts w:ascii="Times" w:hAnsi="Times"/>
        </w:rPr>
        <w:t xml:space="preserve">used </w:t>
      </w:r>
      <w:r w:rsidR="00C67BC0">
        <w:rPr>
          <w:rFonts w:ascii="Times" w:hAnsi="Times"/>
        </w:rPr>
        <w:t>to</w:t>
      </w:r>
      <w:r w:rsidR="00C9526C">
        <w:rPr>
          <w:rFonts w:ascii="Times" w:hAnsi="Times"/>
        </w:rPr>
        <w:t xml:space="preserve"> dehumaniz</w:t>
      </w:r>
      <w:r w:rsidR="00C67BC0">
        <w:rPr>
          <w:rFonts w:ascii="Times" w:hAnsi="Times"/>
        </w:rPr>
        <w:t>e</w:t>
      </w:r>
      <w:r w:rsidR="00C9526C">
        <w:rPr>
          <w:rFonts w:ascii="Times" w:hAnsi="Times"/>
        </w:rPr>
        <w:t xml:space="preserve"> women</w:t>
      </w:r>
      <w:r w:rsidR="00FC3C28">
        <w:rPr>
          <w:rFonts w:ascii="Times" w:hAnsi="Times"/>
        </w:rPr>
        <w:t>.</w:t>
      </w:r>
      <w:r w:rsidR="00ED2369">
        <w:rPr>
          <w:rFonts w:ascii="Times" w:hAnsi="Times"/>
        </w:rPr>
        <w:t xml:space="preserve"> </w:t>
      </w:r>
      <w:r w:rsidR="00FC3C28">
        <w:rPr>
          <w:rFonts w:ascii="Times" w:hAnsi="Times"/>
        </w:rPr>
        <w:t>Swift’s poem</w:t>
      </w:r>
      <w:r w:rsidR="00ED2369">
        <w:rPr>
          <w:rFonts w:ascii="Times" w:hAnsi="Times"/>
        </w:rPr>
        <w:t xml:space="preserve"> </w:t>
      </w:r>
      <w:r w:rsidR="00CA6AC6">
        <w:rPr>
          <w:rFonts w:ascii="Times" w:hAnsi="Times"/>
        </w:rPr>
        <w:t xml:space="preserve">categorizes Celia as “other,” rather </w:t>
      </w:r>
      <w:r w:rsidR="00F94BAA">
        <w:rPr>
          <w:rFonts w:ascii="Times" w:hAnsi="Times"/>
        </w:rPr>
        <w:t>than being</w:t>
      </w:r>
      <w:r w:rsidR="00CA6AC6">
        <w:rPr>
          <w:rFonts w:ascii="Times" w:hAnsi="Times"/>
        </w:rPr>
        <w:t xml:space="preserve"> a woman</w:t>
      </w:r>
      <w:r w:rsidR="00F94BAA">
        <w:rPr>
          <w:rFonts w:ascii="Times" w:hAnsi="Times"/>
        </w:rPr>
        <w:t xml:space="preserve"> because her dressing room is not reflective of what was expected of her</w:t>
      </w:r>
      <w:r w:rsidR="00ED2369">
        <w:rPr>
          <w:rFonts w:ascii="Times" w:hAnsi="Times"/>
        </w:rPr>
        <w:t>.</w:t>
      </w:r>
      <w:r w:rsidR="00FC3C28">
        <w:rPr>
          <w:rFonts w:ascii="Times" w:hAnsi="Times"/>
        </w:rPr>
        <w:t xml:space="preserve"> Further,</w:t>
      </w:r>
      <w:r w:rsidR="00ED2369">
        <w:rPr>
          <w:rFonts w:ascii="Times" w:hAnsi="Times"/>
        </w:rPr>
        <w:t xml:space="preserve"> </w:t>
      </w:r>
      <w:r w:rsidR="009F1A0A">
        <w:rPr>
          <w:rFonts w:ascii="Times" w:hAnsi="Times"/>
        </w:rPr>
        <w:t>Swift disguises his views on women and their gender representation through the character of Strephon who “swears how damnably the Men lie, / In calling Celia sweet and cleanly,” due to the state of her dressing room (Swift l</w:t>
      </w:r>
      <w:r w:rsidR="00772617">
        <w:rPr>
          <w:rFonts w:ascii="Times" w:hAnsi="Times"/>
        </w:rPr>
        <w:t>ines</w:t>
      </w:r>
      <w:r w:rsidR="009F1A0A">
        <w:rPr>
          <w:rFonts w:ascii="Times" w:hAnsi="Times"/>
        </w:rPr>
        <w:t xml:space="preserve"> 17-18). </w:t>
      </w:r>
      <w:r w:rsidR="005E25C2">
        <w:rPr>
          <w:rFonts w:ascii="Times" w:hAnsi="Times"/>
        </w:rPr>
        <w:t xml:space="preserve">Weise argues that Swift “assumes a life ‘impiously </w:t>
      </w:r>
      <w:proofErr w:type="spellStart"/>
      <w:r w:rsidR="005E25C2">
        <w:rPr>
          <w:rFonts w:ascii="Times" w:hAnsi="Times"/>
        </w:rPr>
        <w:t>blasphem</w:t>
      </w:r>
      <w:proofErr w:type="spellEnd"/>
      <w:r w:rsidR="005E25C2">
        <w:rPr>
          <w:rFonts w:ascii="Times" w:hAnsi="Times"/>
        </w:rPr>
        <w:t>[</w:t>
      </w:r>
      <w:proofErr w:type="spellStart"/>
      <w:r w:rsidR="005E25C2">
        <w:rPr>
          <w:rFonts w:ascii="Times" w:hAnsi="Times"/>
        </w:rPr>
        <w:t>ing</w:t>
      </w:r>
      <w:proofErr w:type="spellEnd"/>
      <w:r w:rsidR="005E25C2">
        <w:rPr>
          <w:rFonts w:ascii="Times" w:hAnsi="Times"/>
        </w:rPr>
        <w:t xml:space="preserve">]’ woman’s monstrosity by the poet,” which is shown through Strephon invading the privacy of Celia, therefore, invading her bodily privacy (708). </w:t>
      </w:r>
      <w:r w:rsidR="00772617">
        <w:rPr>
          <w:rFonts w:ascii="Times" w:hAnsi="Times"/>
        </w:rPr>
        <w:t xml:space="preserve">Strephon’s disgust toward Celia’s dressing room being “filled up with Dirt” and covered in “Sweat, Dandruff, Powder, Lead and Hair,” shows his </w:t>
      </w:r>
      <w:r w:rsidR="008F5005">
        <w:rPr>
          <w:rFonts w:ascii="Times" w:hAnsi="Times"/>
        </w:rPr>
        <w:t xml:space="preserve">minimal understanding of </w:t>
      </w:r>
      <w:r w:rsidR="00772617">
        <w:rPr>
          <w:rFonts w:ascii="Times" w:hAnsi="Times"/>
        </w:rPr>
        <w:t xml:space="preserve">women as humans who have regular bodily functions (Swift lines 21-24). </w:t>
      </w:r>
      <w:r w:rsidR="00CA6AC6">
        <w:rPr>
          <w:rFonts w:ascii="Times" w:hAnsi="Times"/>
        </w:rPr>
        <w:t xml:space="preserve">Weise argues that rather than “[fetishizing] Celia’s aesthetic perfection,” Strephon “[investigates] and [demystifies] her private space,” which strips her of her autonomy and privacy (710). This metaphorically symbolizes her bodily privacy being investigated, which </w:t>
      </w:r>
      <w:r w:rsidR="00EA76A6">
        <w:rPr>
          <w:rFonts w:ascii="Times" w:hAnsi="Times"/>
        </w:rPr>
        <w:t>Strephon forces upon Celia since she was not present when he entered her dressing room</w:t>
      </w:r>
      <w:r w:rsidR="00CA6AC6">
        <w:rPr>
          <w:rFonts w:ascii="Times" w:hAnsi="Times"/>
        </w:rPr>
        <w:t xml:space="preserve">. </w:t>
      </w:r>
      <w:r w:rsidR="0091726C">
        <w:rPr>
          <w:rFonts w:ascii="Times" w:hAnsi="Times"/>
        </w:rPr>
        <w:t xml:space="preserve">Mulvey explains that “the genre stimulates a scopophilic response in the male spectator, who pleasures himself by objectifying and desiring </w:t>
      </w:r>
      <w:r w:rsidR="0091726C">
        <w:rPr>
          <w:rFonts w:ascii="Times" w:hAnsi="Times"/>
        </w:rPr>
        <w:lastRenderedPageBreak/>
        <w:t xml:space="preserve">the woman he sees on the screen,’ rather than acknowledging women as humans with emotions and rights (qtd. in Weise 709). </w:t>
      </w:r>
      <w:r w:rsidR="009F090F">
        <w:rPr>
          <w:rFonts w:ascii="Times" w:hAnsi="Times"/>
        </w:rPr>
        <w:t>Strephon’s belief that women are objects of desire for men, rather than humans, further dehumanizes Celia</w:t>
      </w:r>
      <w:r w:rsidR="00F50F56">
        <w:rPr>
          <w:rFonts w:ascii="Times" w:hAnsi="Times"/>
        </w:rPr>
        <w:t xml:space="preserve"> and contributes to the harmful gender representations placed on women during the Restoration period. </w:t>
      </w:r>
      <w:r w:rsidR="003D5855">
        <w:rPr>
          <w:rFonts w:ascii="Times" w:hAnsi="Times"/>
        </w:rPr>
        <w:t>This dehumanization of women puts them on an unobtainable pedestal, making it so they are forced to hide human aspects of themselves to please the public eye. This also takes away women’s right to display their gender in whichever way they please, since Strephon forced Celia to show this private side of her that she did not want to be displayed.</w:t>
      </w:r>
    </w:p>
    <w:p w14:paraId="3ED131B0" w14:textId="6334010B" w:rsidR="00A505D4" w:rsidRDefault="00A505D4" w:rsidP="00A505D4">
      <w:pPr>
        <w:spacing w:line="480" w:lineRule="auto"/>
        <w:rPr>
          <w:rFonts w:ascii="Times" w:hAnsi="Times"/>
          <w:b/>
          <w:bCs/>
        </w:rPr>
      </w:pPr>
      <w:r>
        <w:rPr>
          <w:rFonts w:ascii="Times" w:hAnsi="Times"/>
          <w:b/>
          <w:bCs/>
        </w:rPr>
        <w:t>Conclusion</w:t>
      </w:r>
    </w:p>
    <w:p w14:paraId="204F7339" w14:textId="63032C82" w:rsidR="0002532B" w:rsidRDefault="00A505D4" w:rsidP="00A505D4">
      <w:pPr>
        <w:spacing w:line="480" w:lineRule="auto"/>
        <w:rPr>
          <w:rFonts w:ascii="Times" w:hAnsi="Times"/>
        </w:rPr>
      </w:pPr>
      <w:r>
        <w:rPr>
          <w:rFonts w:ascii="Times" w:hAnsi="Times"/>
        </w:rPr>
        <w:tab/>
        <w:t xml:space="preserve"> </w:t>
      </w:r>
      <w:r>
        <w:rPr>
          <w:rFonts w:ascii="Times" w:hAnsi="Times"/>
          <w:i/>
          <w:iCs/>
        </w:rPr>
        <w:t>The Country Wife</w:t>
      </w:r>
      <w:r>
        <w:rPr>
          <w:rFonts w:ascii="Times" w:hAnsi="Times"/>
        </w:rPr>
        <w:t xml:space="preserve"> and “The Lady’s Dressing Room” provide a lens into the gender dynamics and representations </w:t>
      </w:r>
      <w:r w:rsidR="002973E8">
        <w:rPr>
          <w:rFonts w:ascii="Times" w:hAnsi="Times"/>
        </w:rPr>
        <w:t>of the Restoration period</w:t>
      </w:r>
      <w:r>
        <w:rPr>
          <w:rFonts w:ascii="Times" w:hAnsi="Times"/>
        </w:rPr>
        <w:t>. B</w:t>
      </w:r>
      <w:r w:rsidR="002973E8">
        <w:rPr>
          <w:rFonts w:ascii="Times" w:hAnsi="Times"/>
        </w:rPr>
        <w:t>oth pieces of literature display men’s anxious masculinity during the 18</w:t>
      </w:r>
      <w:r w:rsidR="002973E8" w:rsidRPr="002973E8">
        <w:rPr>
          <w:rFonts w:ascii="Times" w:hAnsi="Times"/>
          <w:vertAlign w:val="superscript"/>
        </w:rPr>
        <w:t>th</w:t>
      </w:r>
      <w:r w:rsidR="002973E8">
        <w:rPr>
          <w:rFonts w:ascii="Times" w:hAnsi="Times"/>
        </w:rPr>
        <w:t xml:space="preserve"> century as women began to gain freedoms which threatened the control they held over women. </w:t>
      </w:r>
      <w:r w:rsidR="00C874F9">
        <w:rPr>
          <w:rFonts w:ascii="Times" w:hAnsi="Times"/>
        </w:rPr>
        <w:t xml:space="preserve">Since the gender dynamics of men and women existed on opposite ends of the spectrum, men often were able to use manipulation tactics if </w:t>
      </w:r>
      <w:r w:rsidR="007B4470">
        <w:rPr>
          <w:rFonts w:ascii="Times" w:hAnsi="Times"/>
        </w:rPr>
        <w:t>women</w:t>
      </w:r>
      <w:r w:rsidR="00C874F9">
        <w:rPr>
          <w:rFonts w:ascii="Times" w:hAnsi="Times"/>
        </w:rPr>
        <w:t xml:space="preserve"> began to build a mind of their own and realize their autonomy. </w:t>
      </w:r>
      <w:r w:rsidR="004B3B97">
        <w:rPr>
          <w:rFonts w:ascii="Times" w:hAnsi="Times"/>
        </w:rPr>
        <w:t>This, in turn, led to the dehumanization of women throughout literature to keep them in their place below men</w:t>
      </w:r>
      <w:r w:rsidR="007B4470">
        <w:rPr>
          <w:rFonts w:ascii="Times" w:hAnsi="Times"/>
        </w:rPr>
        <w:t>, metaphorically speaking. Although many women were able to find autonomy during the 18</w:t>
      </w:r>
      <w:r w:rsidR="007B4470" w:rsidRPr="007B4470">
        <w:rPr>
          <w:rFonts w:ascii="Times" w:hAnsi="Times"/>
          <w:vertAlign w:val="superscript"/>
        </w:rPr>
        <w:t>th</w:t>
      </w:r>
      <w:r w:rsidR="007B4470">
        <w:rPr>
          <w:rFonts w:ascii="Times" w:hAnsi="Times"/>
        </w:rPr>
        <w:t xml:space="preserve"> century, this threatened men, which resulted in overt oppression of women in literature to maintain control. </w:t>
      </w:r>
    </w:p>
    <w:p w14:paraId="0BCF539E" w14:textId="77777777" w:rsidR="0002532B" w:rsidRDefault="0002532B">
      <w:pPr>
        <w:rPr>
          <w:rFonts w:ascii="Times" w:hAnsi="Times"/>
        </w:rPr>
      </w:pPr>
      <w:r>
        <w:rPr>
          <w:rFonts w:ascii="Times" w:hAnsi="Times"/>
        </w:rPr>
        <w:br w:type="page"/>
      </w:r>
    </w:p>
    <w:p w14:paraId="41D35225" w14:textId="1BA40A99" w:rsidR="00A505D4" w:rsidRDefault="0002532B" w:rsidP="0002532B">
      <w:pPr>
        <w:spacing w:line="480" w:lineRule="auto"/>
        <w:jc w:val="center"/>
        <w:rPr>
          <w:rFonts w:ascii="Times" w:hAnsi="Times"/>
        </w:rPr>
      </w:pPr>
      <w:r>
        <w:rPr>
          <w:rFonts w:ascii="Times" w:hAnsi="Times"/>
        </w:rPr>
        <w:lastRenderedPageBreak/>
        <w:t>Works Cited</w:t>
      </w:r>
    </w:p>
    <w:p w14:paraId="07AC95C3" w14:textId="49B0E2B4" w:rsidR="0002532B" w:rsidRPr="00595A89" w:rsidRDefault="0002532B" w:rsidP="00035FFD">
      <w:pPr>
        <w:spacing w:line="480" w:lineRule="auto"/>
        <w:ind w:left="720" w:hanging="720"/>
        <w:rPr>
          <w:rFonts w:ascii="Times" w:hAnsi="Times"/>
          <w:color w:val="343332"/>
          <w:spacing w:val="-5"/>
        </w:rPr>
      </w:pPr>
      <w:r>
        <w:rPr>
          <w:rFonts w:ascii="Times" w:hAnsi="Times"/>
        </w:rPr>
        <w:t xml:space="preserve">Bacon, Jon Lance. “Wives, Widows, and Writings in Restoration Comedy.” </w:t>
      </w:r>
      <w:r>
        <w:rPr>
          <w:rFonts w:ascii="Times" w:hAnsi="Times"/>
          <w:i/>
          <w:iCs/>
        </w:rPr>
        <w:t xml:space="preserve">Studies in English </w:t>
      </w:r>
      <w:r w:rsidRPr="00595A89">
        <w:rPr>
          <w:rFonts w:ascii="Times" w:hAnsi="Times"/>
          <w:i/>
          <w:iCs/>
        </w:rPr>
        <w:t>Literature</w:t>
      </w:r>
      <w:r w:rsidRPr="00595A89">
        <w:rPr>
          <w:rFonts w:ascii="Times" w:hAnsi="Times"/>
        </w:rPr>
        <w:t xml:space="preserve">, vol. 31, no. 3, Rice U, 1991, pp.427-443. </w:t>
      </w:r>
      <w:r w:rsidRPr="00595A89">
        <w:rPr>
          <w:rFonts w:ascii="Times" w:hAnsi="Times"/>
          <w:i/>
          <w:iCs/>
        </w:rPr>
        <w:t>JSTOR</w:t>
      </w:r>
      <w:r w:rsidRPr="00595A89">
        <w:rPr>
          <w:rFonts w:ascii="Times" w:hAnsi="Times"/>
        </w:rPr>
        <w:t xml:space="preserve">, </w:t>
      </w:r>
      <w:hyperlink r:id="rId6" w:tgtFrame="_blank" w:history="1">
        <w:r w:rsidRPr="00595A89">
          <w:rPr>
            <w:rStyle w:val="Hyperlink"/>
            <w:rFonts w:ascii="Times" w:hAnsi="Times"/>
          </w:rPr>
          <w:t>https://doi.org/10.2307/450855</w:t>
        </w:r>
      </w:hyperlink>
      <w:r w:rsidRPr="00595A89">
        <w:rPr>
          <w:rFonts w:ascii="Times" w:hAnsi="Times"/>
          <w:color w:val="343332"/>
          <w:spacing w:val="-5"/>
        </w:rPr>
        <w:t xml:space="preserve">. </w:t>
      </w:r>
    </w:p>
    <w:p w14:paraId="4E4BA2F8" w14:textId="4938DBDD" w:rsidR="00595A89" w:rsidRDefault="00595A89" w:rsidP="00035FFD">
      <w:pPr>
        <w:pStyle w:val="NormalWeb"/>
        <w:spacing w:line="480" w:lineRule="auto"/>
        <w:ind w:left="720" w:hanging="720"/>
        <w:rPr>
          <w:rFonts w:ascii="Source Sans Pro" w:hAnsi="Source Sans Pro"/>
          <w:color w:val="3A3A3A"/>
          <w:sz w:val="23"/>
          <w:szCs w:val="23"/>
          <w:shd w:val="clear" w:color="auto" w:fill="FFFFFF"/>
        </w:rPr>
      </w:pPr>
      <w:r w:rsidRPr="00595A89">
        <w:rPr>
          <w:rFonts w:ascii="Times" w:hAnsi="Times"/>
        </w:rPr>
        <w:t xml:space="preserve">Harvey, Karen. “The Century of Sex? Gender, Bodies, and Sexuality in the Long Eighteenth Century.” </w:t>
      </w:r>
      <w:r w:rsidRPr="00595A89">
        <w:rPr>
          <w:rFonts w:ascii="Times" w:hAnsi="Times"/>
          <w:i/>
          <w:iCs/>
        </w:rPr>
        <w:t>The Historical Journal</w:t>
      </w:r>
      <w:r w:rsidRPr="00595A89">
        <w:rPr>
          <w:rFonts w:ascii="Times" w:hAnsi="Times"/>
        </w:rPr>
        <w:t xml:space="preserve">, vol. 45, no. 4, Cambridge UP, 2002, pp. 899-916. </w:t>
      </w:r>
      <w:r w:rsidR="00035FFD">
        <w:rPr>
          <w:rFonts w:ascii="Times" w:hAnsi="Times"/>
          <w:i/>
          <w:iCs/>
        </w:rPr>
        <w:t>Cambridge UP</w:t>
      </w:r>
      <w:r w:rsidRPr="00595A89">
        <w:rPr>
          <w:rFonts w:ascii="Times" w:hAnsi="Times"/>
        </w:rPr>
        <w:t xml:space="preserve">, </w:t>
      </w:r>
      <w:hyperlink r:id="rId7" w:history="1">
        <w:r w:rsidRPr="00595A89">
          <w:rPr>
            <w:rStyle w:val="Hyperlink"/>
            <w:rFonts w:ascii="Times" w:hAnsi="Times"/>
            <w:shd w:val="clear" w:color="auto" w:fill="FFFFFF"/>
          </w:rPr>
          <w:t>https://doi.org/10.1017/S0018246X02002728</w:t>
        </w:r>
      </w:hyperlink>
      <w:r w:rsidRPr="00595A89">
        <w:rPr>
          <w:rFonts w:ascii="Times" w:hAnsi="Times"/>
          <w:color w:val="3A3A3A"/>
          <w:shd w:val="clear" w:color="auto" w:fill="FFFFFF"/>
        </w:rPr>
        <w:t>.</w:t>
      </w:r>
    </w:p>
    <w:p w14:paraId="05FC1490" w14:textId="643F0B63" w:rsidR="00595A89" w:rsidRDefault="00595A89" w:rsidP="00035FFD">
      <w:pPr>
        <w:pStyle w:val="NormalWeb"/>
        <w:spacing w:line="480" w:lineRule="auto"/>
        <w:ind w:left="720" w:hanging="720"/>
        <w:rPr>
          <w:rFonts w:ascii="Source Sans Pro" w:hAnsi="Source Sans Pro"/>
          <w:color w:val="3A3A3A"/>
          <w:sz w:val="23"/>
          <w:szCs w:val="23"/>
          <w:shd w:val="clear" w:color="auto" w:fill="FFFFFF"/>
        </w:rPr>
      </w:pPr>
      <w:r>
        <w:rPr>
          <w:rFonts w:ascii="Times" w:hAnsi="Times"/>
        </w:rPr>
        <w:t xml:space="preserve">--. “The History of Masculinity, circa 1650-1800.” </w:t>
      </w:r>
      <w:r>
        <w:rPr>
          <w:rFonts w:ascii="Times" w:hAnsi="Times"/>
          <w:i/>
          <w:iCs/>
        </w:rPr>
        <w:t>The Journal of British Studies</w:t>
      </w:r>
      <w:r>
        <w:rPr>
          <w:rFonts w:ascii="Times" w:hAnsi="Times"/>
        </w:rPr>
        <w:t xml:space="preserve">, vol. 44, no. 2, 2005, pp. 296-311. </w:t>
      </w:r>
      <w:r>
        <w:rPr>
          <w:rFonts w:ascii="Times" w:hAnsi="Times"/>
          <w:i/>
          <w:iCs/>
        </w:rPr>
        <w:t>Cambridge UP</w:t>
      </w:r>
      <w:r w:rsidRPr="00595A89">
        <w:rPr>
          <w:rFonts w:ascii="Times" w:hAnsi="Times"/>
        </w:rPr>
        <w:t xml:space="preserve">, </w:t>
      </w:r>
      <w:hyperlink r:id="rId8" w:history="1">
        <w:r w:rsidRPr="00595A89">
          <w:rPr>
            <w:rStyle w:val="Hyperlink"/>
            <w:rFonts w:ascii="Times" w:hAnsi="Times"/>
            <w:shd w:val="clear" w:color="auto" w:fill="FFFFFF"/>
          </w:rPr>
          <w:t>https://doi.org/10.1086/427126</w:t>
        </w:r>
      </w:hyperlink>
      <w:r w:rsidRPr="00595A89">
        <w:rPr>
          <w:rFonts w:ascii="Times" w:hAnsi="Times"/>
          <w:color w:val="3A3A3A"/>
          <w:shd w:val="clear" w:color="auto" w:fill="FFFFFF"/>
        </w:rPr>
        <w:t>.</w:t>
      </w:r>
      <w:r>
        <w:rPr>
          <w:rFonts w:ascii="Source Sans Pro" w:hAnsi="Source Sans Pro"/>
          <w:color w:val="3A3A3A"/>
          <w:sz w:val="23"/>
          <w:szCs w:val="23"/>
          <w:shd w:val="clear" w:color="auto" w:fill="FFFFFF"/>
        </w:rPr>
        <w:t xml:space="preserve"> </w:t>
      </w:r>
    </w:p>
    <w:p w14:paraId="0CF75BA1" w14:textId="2BBFC9DA" w:rsidR="00595A89" w:rsidRDefault="00595A89" w:rsidP="00035FFD">
      <w:pPr>
        <w:pStyle w:val="NormalWeb"/>
        <w:spacing w:line="480" w:lineRule="auto"/>
        <w:ind w:left="720" w:hanging="720"/>
        <w:rPr>
          <w:rFonts w:ascii="Times" w:hAnsi="Times"/>
        </w:rPr>
      </w:pPr>
      <w:r>
        <w:rPr>
          <w:rFonts w:ascii="Times" w:hAnsi="Times"/>
        </w:rPr>
        <w:t xml:space="preserve">Swift, Jonathan. “The Lady’s Dressing Room.” 1732. </w:t>
      </w:r>
      <w:hyperlink r:id="rId9" w:history="1">
        <w:r w:rsidRPr="006B6FAE">
          <w:rPr>
            <w:rStyle w:val="Hyperlink"/>
            <w:rFonts w:ascii="Times" w:hAnsi="Times"/>
          </w:rPr>
          <w:t>https://www.dvusd.org/cms/lib/AZ01901092/Centricity/Domain/2891/Ladys%20Dressing%20Room.pdf</w:t>
        </w:r>
      </w:hyperlink>
      <w:r>
        <w:rPr>
          <w:rFonts w:ascii="Times" w:hAnsi="Times"/>
        </w:rPr>
        <w:t xml:space="preserve">. </w:t>
      </w:r>
    </w:p>
    <w:p w14:paraId="2E251FE4" w14:textId="01BEAC8E" w:rsidR="00595A89" w:rsidRPr="00035FFD" w:rsidRDefault="00595A89" w:rsidP="00035FFD">
      <w:pPr>
        <w:pStyle w:val="NormalWeb"/>
        <w:spacing w:line="480" w:lineRule="auto"/>
        <w:ind w:left="720" w:hanging="720"/>
        <w:rPr>
          <w:rFonts w:ascii="Times" w:hAnsi="Times"/>
          <w:color w:val="3A3A3A"/>
          <w:shd w:val="clear" w:color="auto" w:fill="FFFFFF"/>
        </w:rPr>
      </w:pPr>
      <w:r w:rsidRPr="00035FFD">
        <w:rPr>
          <w:rFonts w:ascii="Times" w:hAnsi="Times"/>
        </w:rPr>
        <w:t xml:space="preserve">Weise, Wendy S. “Seeing and the Difference It Makes: </w:t>
      </w:r>
      <w:proofErr w:type="spellStart"/>
      <w:r w:rsidRPr="00035FFD">
        <w:rPr>
          <w:rFonts w:ascii="Times" w:hAnsi="Times"/>
        </w:rPr>
        <w:t>Ocularity</w:t>
      </w:r>
      <w:proofErr w:type="spellEnd"/>
      <w:r w:rsidRPr="00035FFD">
        <w:rPr>
          <w:rFonts w:ascii="Times" w:hAnsi="Times"/>
        </w:rPr>
        <w:t xml:space="preserve">, Gender, and Space in Swift’s and Montagu’s ‘Dressing Room’ Satires.” </w:t>
      </w:r>
      <w:r w:rsidRPr="00035FFD">
        <w:rPr>
          <w:rFonts w:ascii="Times" w:hAnsi="Times"/>
          <w:i/>
          <w:iCs/>
        </w:rPr>
        <w:t>Women’s Studies</w:t>
      </w:r>
      <w:r w:rsidRPr="00035FFD">
        <w:rPr>
          <w:rFonts w:ascii="Times" w:hAnsi="Times"/>
        </w:rPr>
        <w:t xml:space="preserve">, vol. 35, no. 8, 2006, pp. 707-38. </w:t>
      </w:r>
      <w:r w:rsidRPr="00035FFD">
        <w:rPr>
          <w:rFonts w:ascii="Times" w:hAnsi="Times"/>
          <w:i/>
          <w:iCs/>
        </w:rPr>
        <w:t>Taylor &amp; Francis Online</w:t>
      </w:r>
      <w:r w:rsidRPr="00035FFD">
        <w:rPr>
          <w:rFonts w:ascii="Times" w:hAnsi="Times"/>
        </w:rPr>
        <w:t xml:space="preserve">, </w:t>
      </w:r>
      <w:hyperlink r:id="rId10" w:history="1">
        <w:r w:rsidRPr="00035FFD">
          <w:rPr>
            <w:rStyle w:val="Hyperlink"/>
            <w:rFonts w:ascii="Times" w:hAnsi="Times"/>
            <w:shd w:val="clear" w:color="auto" w:fill="FFFFFF"/>
          </w:rPr>
          <w:t>https://doi.org/10.1080/00497870600945600</w:t>
        </w:r>
      </w:hyperlink>
      <w:r w:rsidRPr="00035FFD">
        <w:rPr>
          <w:rFonts w:ascii="Times" w:hAnsi="Times"/>
          <w:color w:val="3A3A3A"/>
          <w:shd w:val="clear" w:color="auto" w:fill="FFFFFF"/>
        </w:rPr>
        <w:t xml:space="preserve">. </w:t>
      </w:r>
    </w:p>
    <w:p w14:paraId="28C560D3" w14:textId="71C69EAF" w:rsidR="00035FFD" w:rsidRPr="00035FFD" w:rsidRDefault="00035FFD" w:rsidP="00035FFD">
      <w:pPr>
        <w:pStyle w:val="NormalWeb"/>
        <w:spacing w:line="480" w:lineRule="auto"/>
        <w:ind w:left="720" w:hanging="720"/>
        <w:rPr>
          <w:rFonts w:ascii="Times" w:hAnsi="Times"/>
        </w:rPr>
      </w:pPr>
      <w:r w:rsidRPr="00035FFD">
        <w:rPr>
          <w:rFonts w:ascii="Times" w:hAnsi="Times"/>
          <w:color w:val="3A3A3A"/>
          <w:shd w:val="clear" w:color="auto" w:fill="FFFFFF"/>
        </w:rPr>
        <w:t xml:space="preserve">Wycherley, William. </w:t>
      </w:r>
      <w:r w:rsidRPr="00035FFD">
        <w:rPr>
          <w:rFonts w:ascii="Times" w:hAnsi="Times"/>
          <w:i/>
          <w:iCs/>
          <w:color w:val="3A3A3A"/>
          <w:shd w:val="clear" w:color="auto" w:fill="FFFFFF"/>
        </w:rPr>
        <w:t>The Country Wife</w:t>
      </w:r>
      <w:r w:rsidRPr="00035FFD">
        <w:rPr>
          <w:rFonts w:ascii="Times" w:hAnsi="Times"/>
          <w:color w:val="3A3A3A"/>
          <w:shd w:val="clear" w:color="auto" w:fill="FFFFFF"/>
        </w:rPr>
        <w:t xml:space="preserve">, 1675. </w:t>
      </w:r>
      <w:hyperlink r:id="rId11" w:history="1">
        <w:r w:rsidRPr="00035FFD">
          <w:rPr>
            <w:rStyle w:val="Hyperlink"/>
            <w:rFonts w:ascii="Times" w:hAnsi="Times"/>
            <w:shd w:val="clear" w:color="auto" w:fill="FFFFFF"/>
          </w:rPr>
          <w:t>https://theater.lafayette.edu/wp-content/uploads/sites/59/2021/03/The-Country-Wife.pdf</w:t>
        </w:r>
      </w:hyperlink>
      <w:r w:rsidRPr="00035FFD">
        <w:rPr>
          <w:rFonts w:ascii="Times" w:hAnsi="Times"/>
          <w:color w:val="3A3A3A"/>
          <w:shd w:val="clear" w:color="auto" w:fill="FFFFFF"/>
        </w:rPr>
        <w:t xml:space="preserve">. </w:t>
      </w:r>
    </w:p>
    <w:p w14:paraId="680F742E" w14:textId="0FE50CBB" w:rsidR="001C2C1A" w:rsidRPr="006E7C5F" w:rsidRDefault="001C2C1A" w:rsidP="00676B29">
      <w:pPr>
        <w:spacing w:line="480" w:lineRule="auto"/>
        <w:ind w:firstLine="720"/>
        <w:rPr>
          <w:rFonts w:ascii="Times" w:hAnsi="Times"/>
        </w:rPr>
      </w:pPr>
    </w:p>
    <w:sectPr w:rsidR="001C2C1A" w:rsidRPr="006E7C5F">
      <w:headerReference w:type="even" r:id="rId12"/>
      <w:headerReference w:type="default" r:id="rId1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3FDD04" w14:textId="77777777" w:rsidR="00ED7B11" w:rsidRDefault="00ED7B11" w:rsidP="00C067C7">
      <w:r>
        <w:separator/>
      </w:r>
    </w:p>
  </w:endnote>
  <w:endnote w:type="continuationSeparator" w:id="0">
    <w:p w14:paraId="31D677E3" w14:textId="77777777" w:rsidR="00ED7B11" w:rsidRDefault="00ED7B11" w:rsidP="00C067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0000500000000020000"/>
    <w:charset w:val="00"/>
    <w:family w:val="auto"/>
    <w:pitch w:val="variable"/>
    <w:sig w:usb0="E00002FF" w:usb1="5000205A" w:usb2="00000000" w:usb3="00000000" w:csb0="0000019F"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7D1DD2" w14:textId="77777777" w:rsidR="00ED7B11" w:rsidRDefault="00ED7B11" w:rsidP="00C067C7">
      <w:r>
        <w:separator/>
      </w:r>
    </w:p>
  </w:footnote>
  <w:footnote w:type="continuationSeparator" w:id="0">
    <w:p w14:paraId="226CF026" w14:textId="77777777" w:rsidR="00ED7B11" w:rsidRDefault="00ED7B11" w:rsidP="00C067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96617458"/>
      <w:docPartObj>
        <w:docPartGallery w:val="Page Numbers (Top of Page)"/>
        <w:docPartUnique/>
      </w:docPartObj>
    </w:sdtPr>
    <w:sdtContent>
      <w:p w14:paraId="434CA1F2" w14:textId="50F77D08" w:rsidR="00C067C7" w:rsidRDefault="00C067C7" w:rsidP="006B6FAE">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3A440C5" w14:textId="77777777" w:rsidR="00C067C7" w:rsidRDefault="00C067C7" w:rsidP="00C067C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w:hAnsi="Times"/>
      </w:rPr>
      <w:id w:val="-1913848402"/>
      <w:docPartObj>
        <w:docPartGallery w:val="Page Numbers (Top of Page)"/>
        <w:docPartUnique/>
      </w:docPartObj>
    </w:sdtPr>
    <w:sdtContent>
      <w:p w14:paraId="7893B3A8" w14:textId="230746B0" w:rsidR="00C067C7" w:rsidRPr="00C067C7" w:rsidRDefault="00C067C7" w:rsidP="006B6FAE">
        <w:pPr>
          <w:pStyle w:val="Header"/>
          <w:framePr w:wrap="none" w:vAnchor="text" w:hAnchor="margin" w:xAlign="right" w:y="1"/>
          <w:rPr>
            <w:rStyle w:val="PageNumber"/>
            <w:rFonts w:ascii="Times" w:hAnsi="Times"/>
          </w:rPr>
        </w:pPr>
        <w:r w:rsidRPr="00C067C7">
          <w:rPr>
            <w:rStyle w:val="PageNumber"/>
            <w:rFonts w:ascii="Times" w:hAnsi="Times"/>
          </w:rPr>
          <w:fldChar w:fldCharType="begin"/>
        </w:r>
        <w:r w:rsidRPr="00C067C7">
          <w:rPr>
            <w:rStyle w:val="PageNumber"/>
            <w:rFonts w:ascii="Times" w:hAnsi="Times"/>
          </w:rPr>
          <w:instrText xml:space="preserve"> PAGE </w:instrText>
        </w:r>
        <w:r w:rsidRPr="00C067C7">
          <w:rPr>
            <w:rStyle w:val="PageNumber"/>
            <w:rFonts w:ascii="Times" w:hAnsi="Times"/>
          </w:rPr>
          <w:fldChar w:fldCharType="separate"/>
        </w:r>
        <w:r w:rsidRPr="00C067C7">
          <w:rPr>
            <w:rStyle w:val="PageNumber"/>
            <w:rFonts w:ascii="Times" w:hAnsi="Times"/>
            <w:noProof/>
          </w:rPr>
          <w:t>1</w:t>
        </w:r>
        <w:r w:rsidRPr="00C067C7">
          <w:rPr>
            <w:rStyle w:val="PageNumber"/>
            <w:rFonts w:ascii="Times" w:hAnsi="Times"/>
          </w:rPr>
          <w:fldChar w:fldCharType="end"/>
        </w:r>
      </w:p>
    </w:sdtContent>
  </w:sdt>
  <w:p w14:paraId="04E382A2" w14:textId="6B973B34" w:rsidR="00C067C7" w:rsidRPr="00C067C7" w:rsidRDefault="00C067C7" w:rsidP="00C067C7">
    <w:pPr>
      <w:pStyle w:val="Header"/>
      <w:ind w:right="360"/>
      <w:jc w:val="right"/>
      <w:rPr>
        <w:rFonts w:ascii="Times" w:hAnsi="Times"/>
      </w:rPr>
    </w:pPr>
    <w:r>
      <w:rPr>
        <w:rFonts w:ascii="Times" w:hAnsi="Times"/>
      </w:rPr>
      <w:t>Luzentales-Simpson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544"/>
    <w:rsid w:val="000050D8"/>
    <w:rsid w:val="0002532B"/>
    <w:rsid w:val="00035FFD"/>
    <w:rsid w:val="00092F82"/>
    <w:rsid w:val="000957AF"/>
    <w:rsid w:val="000A1D8E"/>
    <w:rsid w:val="001127F2"/>
    <w:rsid w:val="00120D95"/>
    <w:rsid w:val="00121E73"/>
    <w:rsid w:val="001B6F3E"/>
    <w:rsid w:val="001C2C1A"/>
    <w:rsid w:val="001C5BAD"/>
    <w:rsid w:val="001E6D7B"/>
    <w:rsid w:val="001F4ACE"/>
    <w:rsid w:val="002079F4"/>
    <w:rsid w:val="0023161D"/>
    <w:rsid w:val="00234F10"/>
    <w:rsid w:val="0026690C"/>
    <w:rsid w:val="00267630"/>
    <w:rsid w:val="00291B6F"/>
    <w:rsid w:val="002973E8"/>
    <w:rsid w:val="002D4377"/>
    <w:rsid w:val="002F5C05"/>
    <w:rsid w:val="00311EC4"/>
    <w:rsid w:val="0031585B"/>
    <w:rsid w:val="0034415A"/>
    <w:rsid w:val="0035781C"/>
    <w:rsid w:val="003765A8"/>
    <w:rsid w:val="00384EB9"/>
    <w:rsid w:val="0038593E"/>
    <w:rsid w:val="00392C4D"/>
    <w:rsid w:val="003B0482"/>
    <w:rsid w:val="003B7B1B"/>
    <w:rsid w:val="003D5855"/>
    <w:rsid w:val="00462A48"/>
    <w:rsid w:val="00472F8C"/>
    <w:rsid w:val="004914DB"/>
    <w:rsid w:val="004B3B97"/>
    <w:rsid w:val="0051588B"/>
    <w:rsid w:val="00516E06"/>
    <w:rsid w:val="005477E9"/>
    <w:rsid w:val="00595A89"/>
    <w:rsid w:val="005C4C14"/>
    <w:rsid w:val="005C5EF8"/>
    <w:rsid w:val="005D10E0"/>
    <w:rsid w:val="005E25C2"/>
    <w:rsid w:val="00616570"/>
    <w:rsid w:val="00625792"/>
    <w:rsid w:val="00653EC6"/>
    <w:rsid w:val="00670ECE"/>
    <w:rsid w:val="00676B29"/>
    <w:rsid w:val="006E7C5F"/>
    <w:rsid w:val="00723DBB"/>
    <w:rsid w:val="0074589E"/>
    <w:rsid w:val="00772617"/>
    <w:rsid w:val="00791710"/>
    <w:rsid w:val="00794CF3"/>
    <w:rsid w:val="007959A1"/>
    <w:rsid w:val="007A33EF"/>
    <w:rsid w:val="007A687A"/>
    <w:rsid w:val="007B4470"/>
    <w:rsid w:val="007D0C6A"/>
    <w:rsid w:val="008061F7"/>
    <w:rsid w:val="00812574"/>
    <w:rsid w:val="0083270F"/>
    <w:rsid w:val="0084009F"/>
    <w:rsid w:val="00882850"/>
    <w:rsid w:val="008D14D3"/>
    <w:rsid w:val="008E42CA"/>
    <w:rsid w:val="008F5005"/>
    <w:rsid w:val="0091726C"/>
    <w:rsid w:val="00942A54"/>
    <w:rsid w:val="00950E65"/>
    <w:rsid w:val="00957C60"/>
    <w:rsid w:val="009F090F"/>
    <w:rsid w:val="009F1A0A"/>
    <w:rsid w:val="00A43653"/>
    <w:rsid w:val="00A505D4"/>
    <w:rsid w:val="00A7215E"/>
    <w:rsid w:val="00A94544"/>
    <w:rsid w:val="00AA02E4"/>
    <w:rsid w:val="00AB3FA8"/>
    <w:rsid w:val="00AC0880"/>
    <w:rsid w:val="00AD3512"/>
    <w:rsid w:val="00AD47C5"/>
    <w:rsid w:val="00AF79A4"/>
    <w:rsid w:val="00B02A85"/>
    <w:rsid w:val="00B267A3"/>
    <w:rsid w:val="00B27BB0"/>
    <w:rsid w:val="00B35977"/>
    <w:rsid w:val="00B5248D"/>
    <w:rsid w:val="00BD26CF"/>
    <w:rsid w:val="00C02EFF"/>
    <w:rsid w:val="00C0665B"/>
    <w:rsid w:val="00C067C7"/>
    <w:rsid w:val="00C30B88"/>
    <w:rsid w:val="00C3558C"/>
    <w:rsid w:val="00C67BC0"/>
    <w:rsid w:val="00C83188"/>
    <w:rsid w:val="00C874F9"/>
    <w:rsid w:val="00C9526C"/>
    <w:rsid w:val="00CA156D"/>
    <w:rsid w:val="00CA6AC6"/>
    <w:rsid w:val="00CF227B"/>
    <w:rsid w:val="00D03936"/>
    <w:rsid w:val="00D11F73"/>
    <w:rsid w:val="00D63CB4"/>
    <w:rsid w:val="00D90A9B"/>
    <w:rsid w:val="00D9545E"/>
    <w:rsid w:val="00D9562D"/>
    <w:rsid w:val="00E03EF2"/>
    <w:rsid w:val="00E06EC0"/>
    <w:rsid w:val="00E14344"/>
    <w:rsid w:val="00E511F5"/>
    <w:rsid w:val="00E612B6"/>
    <w:rsid w:val="00E84696"/>
    <w:rsid w:val="00E900D4"/>
    <w:rsid w:val="00EA5A68"/>
    <w:rsid w:val="00EA76A6"/>
    <w:rsid w:val="00EB2126"/>
    <w:rsid w:val="00ED2369"/>
    <w:rsid w:val="00ED7B11"/>
    <w:rsid w:val="00EE4C0B"/>
    <w:rsid w:val="00F106CF"/>
    <w:rsid w:val="00F34899"/>
    <w:rsid w:val="00F46D6F"/>
    <w:rsid w:val="00F50F56"/>
    <w:rsid w:val="00F93C48"/>
    <w:rsid w:val="00F94BAA"/>
    <w:rsid w:val="00F96C6D"/>
    <w:rsid w:val="00FA62CC"/>
    <w:rsid w:val="00FC3C28"/>
    <w:rsid w:val="00FD3532"/>
    <w:rsid w:val="00FE5B5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67F0562"/>
  <w15:chartTrackingRefBased/>
  <w15:docId w15:val="{1616777E-51EA-FA4C-913A-871D546A0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2532B"/>
    <w:rPr>
      <w:color w:val="0000FF"/>
      <w:u w:val="single"/>
    </w:rPr>
  </w:style>
  <w:style w:type="paragraph" w:styleId="NormalWeb">
    <w:name w:val="Normal (Web)"/>
    <w:basedOn w:val="Normal"/>
    <w:uiPriority w:val="99"/>
    <w:unhideWhenUsed/>
    <w:rsid w:val="00595A89"/>
    <w:pPr>
      <w:spacing w:before="100" w:beforeAutospacing="1" w:after="100" w:afterAutospacing="1"/>
    </w:pPr>
    <w:rPr>
      <w:rFonts w:ascii="Times New Roman" w:eastAsia="Times New Roman" w:hAnsi="Times New Roman" w:cs="Times New Roman"/>
      <w:kern w:val="0"/>
      <w14:ligatures w14:val="none"/>
    </w:rPr>
  </w:style>
  <w:style w:type="character" w:styleId="UnresolvedMention">
    <w:name w:val="Unresolved Mention"/>
    <w:basedOn w:val="DefaultParagraphFont"/>
    <w:uiPriority w:val="99"/>
    <w:semiHidden/>
    <w:unhideWhenUsed/>
    <w:rsid w:val="00595A89"/>
    <w:rPr>
      <w:color w:val="605E5C"/>
      <w:shd w:val="clear" w:color="auto" w:fill="E1DFDD"/>
    </w:rPr>
  </w:style>
  <w:style w:type="character" w:styleId="FollowedHyperlink">
    <w:name w:val="FollowedHyperlink"/>
    <w:basedOn w:val="DefaultParagraphFont"/>
    <w:uiPriority w:val="99"/>
    <w:semiHidden/>
    <w:unhideWhenUsed/>
    <w:rsid w:val="00595A89"/>
    <w:rPr>
      <w:color w:val="954F72" w:themeColor="followedHyperlink"/>
      <w:u w:val="single"/>
    </w:rPr>
  </w:style>
  <w:style w:type="paragraph" w:styleId="Header">
    <w:name w:val="header"/>
    <w:basedOn w:val="Normal"/>
    <w:link w:val="HeaderChar"/>
    <w:uiPriority w:val="99"/>
    <w:unhideWhenUsed/>
    <w:rsid w:val="00C067C7"/>
    <w:pPr>
      <w:tabs>
        <w:tab w:val="center" w:pos="4680"/>
        <w:tab w:val="right" w:pos="9360"/>
      </w:tabs>
    </w:pPr>
  </w:style>
  <w:style w:type="character" w:customStyle="1" w:styleId="HeaderChar">
    <w:name w:val="Header Char"/>
    <w:basedOn w:val="DefaultParagraphFont"/>
    <w:link w:val="Header"/>
    <w:uiPriority w:val="99"/>
    <w:rsid w:val="00C067C7"/>
  </w:style>
  <w:style w:type="paragraph" w:styleId="Footer">
    <w:name w:val="footer"/>
    <w:basedOn w:val="Normal"/>
    <w:link w:val="FooterChar"/>
    <w:uiPriority w:val="99"/>
    <w:unhideWhenUsed/>
    <w:rsid w:val="00C067C7"/>
    <w:pPr>
      <w:tabs>
        <w:tab w:val="center" w:pos="4680"/>
        <w:tab w:val="right" w:pos="9360"/>
      </w:tabs>
    </w:pPr>
  </w:style>
  <w:style w:type="character" w:customStyle="1" w:styleId="FooterChar">
    <w:name w:val="Footer Char"/>
    <w:basedOn w:val="DefaultParagraphFont"/>
    <w:link w:val="Footer"/>
    <w:uiPriority w:val="99"/>
    <w:rsid w:val="00C067C7"/>
  </w:style>
  <w:style w:type="character" w:styleId="PageNumber">
    <w:name w:val="page number"/>
    <w:basedOn w:val="DefaultParagraphFont"/>
    <w:uiPriority w:val="99"/>
    <w:semiHidden/>
    <w:unhideWhenUsed/>
    <w:rsid w:val="00C067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8210166">
      <w:bodyDiv w:val="1"/>
      <w:marLeft w:val="0"/>
      <w:marRight w:val="0"/>
      <w:marTop w:val="0"/>
      <w:marBottom w:val="0"/>
      <w:divBdr>
        <w:top w:val="none" w:sz="0" w:space="0" w:color="auto"/>
        <w:left w:val="none" w:sz="0" w:space="0" w:color="auto"/>
        <w:bottom w:val="none" w:sz="0" w:space="0" w:color="auto"/>
        <w:right w:val="none" w:sz="0" w:space="0" w:color="auto"/>
      </w:divBdr>
      <w:divsChild>
        <w:div w:id="2108379885">
          <w:marLeft w:val="0"/>
          <w:marRight w:val="0"/>
          <w:marTop w:val="0"/>
          <w:marBottom w:val="0"/>
          <w:divBdr>
            <w:top w:val="none" w:sz="0" w:space="0" w:color="auto"/>
            <w:left w:val="none" w:sz="0" w:space="0" w:color="auto"/>
            <w:bottom w:val="none" w:sz="0" w:space="0" w:color="auto"/>
            <w:right w:val="none" w:sz="0" w:space="0" w:color="auto"/>
          </w:divBdr>
          <w:divsChild>
            <w:div w:id="1823695041">
              <w:marLeft w:val="0"/>
              <w:marRight w:val="0"/>
              <w:marTop w:val="0"/>
              <w:marBottom w:val="0"/>
              <w:divBdr>
                <w:top w:val="none" w:sz="0" w:space="0" w:color="auto"/>
                <w:left w:val="none" w:sz="0" w:space="0" w:color="auto"/>
                <w:bottom w:val="none" w:sz="0" w:space="0" w:color="auto"/>
                <w:right w:val="none" w:sz="0" w:space="0" w:color="auto"/>
              </w:divBdr>
              <w:divsChild>
                <w:div w:id="193188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86/427126" TargetMode="External"/><Relationship Id="rId13"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yperlink" Target="https://doi.org/10.1017/S0018246X02002728"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libproxy.mtroyal.ca/10.2307/450855" TargetMode="External"/><Relationship Id="rId11" Type="http://schemas.openxmlformats.org/officeDocument/2006/relationships/hyperlink" Target="https://theater.lafayette.edu/wp-content/uploads/sites/59/2021/03/The-Country-Wife.pdf"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doi.org/10.1080/00497870600945600" TargetMode="External"/><Relationship Id="rId4" Type="http://schemas.openxmlformats.org/officeDocument/2006/relationships/footnotes" Target="footnotes.xml"/><Relationship Id="rId9" Type="http://schemas.openxmlformats.org/officeDocument/2006/relationships/hyperlink" Target="https://www.dvusd.org/cms/lib/AZ01901092/Centricity/Domain/2891/Ladys%20Dressing%20Room.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282</TotalTime>
  <Pages>7</Pages>
  <Words>1920</Words>
  <Characters>10948</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Simpson</dc:creator>
  <cp:keywords/>
  <dc:description/>
  <cp:lastModifiedBy>Sam Simpson</cp:lastModifiedBy>
  <cp:revision>136</cp:revision>
  <dcterms:created xsi:type="dcterms:W3CDTF">2023-11-29T18:29:00Z</dcterms:created>
  <dcterms:modified xsi:type="dcterms:W3CDTF">2025-04-03T22:31:00Z</dcterms:modified>
</cp:coreProperties>
</file>